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Envirotech Systems Ltd</w:t>
      </w:r>
    </w:p>
    <w:p>
      <w:pPr>
        <w:pBdr>
          <w:bottom w:val="single" w:color="CCCCCC" w:sz="6" w:space="8"/>
        </w:pBdr>
        <w:spacing w:after="200"/>
      </w:pPr>
      <w:r>
        <w:rPr>
          <w:i/>
          <w:iCs/>
          <w:color w:val="666666"/>
          <w:sz w:val="22"/>
          <w:szCs w:val="22"/>
        </w:rPr>
        <w:t xml:space="preserve">Niche acoustic-solutions moat undermined by a real, repeated execution/guidance-credibility problem</w:t>
      </w:r>
    </w:p>
    <w:p>
      <w:pPr>
        <w:pStyle w:val="Heading1"/>
        <w:spacing w:after="120" w:before="280"/>
      </w:pPr>
      <w:r>
        <w:t xml:space="preserve">Business Overview</w:t>
      </w:r>
    </w:p>
    <w:p>
      <w:pPr>
        <w:spacing w:after="120"/>
      </w:pPr>
      <w:r>
        <w:t xml:space="preserve">Envirotech Systems manufactures acoustic/noise-control solutions (acoustic enclosures, insulation) for industrial, infrastructure, and defense customers, expanding into photovoltaic noise-barrier panels (PVNB) for highways via a CSIR-National Physical Lab MOU.</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251 Cr</w:t>
            </w:r>
          </w:p>
        </w:tc>
      </w:tr>
      <w:tr>
        <w:tc>
          <w:tcPr>
            <w:tcW w:type="dxa" w:w="3200"/>
            <w:shd w:fill="F2F2F2" w:val="clear"/>
          </w:tcPr>
          <w:p>
            <w:r>
              <w:rPr>
                <w:b/>
                <w:bCs/>
              </w:rPr>
              <w:t xml:space="preserve">ROE</w:t>
            </w:r>
          </w:p>
        </w:tc>
        <w:tc>
          <w:tcPr>
            <w:tcW w:type="dxa" w:w="5800"/>
          </w:tcPr>
          <w:p>
            <w:r>
              <w:t xml:space="preserve">58.29%</w:t>
            </w:r>
          </w:p>
        </w:tc>
      </w:tr>
      <w:tr>
        <w:tc>
          <w:tcPr>
            <w:tcW w:type="dxa" w:w="3200"/>
            <w:shd w:fill="F2F2F2" w:val="clear"/>
          </w:tcPr>
          <w:p>
            <w:r>
              <w:rPr>
                <w:b/>
                <w:bCs/>
              </w:rPr>
              <w:t xml:space="preserve">ROCE</w:t>
            </w:r>
          </w:p>
        </w:tc>
        <w:tc>
          <w:tcPr>
            <w:tcW w:type="dxa" w:w="5800"/>
          </w:tcPr>
          <w:p>
            <w:r>
              <w:t xml:space="preserve">62.56% (3yr avg 36.6%, median 27.4%)</w:t>
            </w:r>
          </w:p>
        </w:tc>
      </w:tr>
      <w:tr>
        <w:tc>
          <w:tcPr>
            <w:tcW w:type="dxa" w:w="3200"/>
            <w:shd w:fill="F2F2F2" w:val="clear"/>
          </w:tcPr>
          <w:p>
            <w:r>
              <w:rPr>
                <w:b/>
                <w:bCs/>
              </w:rPr>
              <w:t xml:space="preserve">Debt</w:t>
            </w:r>
          </w:p>
        </w:tc>
        <w:tc>
          <w:tcPr>
            <w:tcW w:type="dxa" w:w="5800"/>
          </w:tcPr>
          <w:p>
            <w:r>
              <w:t xml:space="preserve">Low nominal D/E (0.13) but high debtor days (~201) and worsening cash flow/rising short-term borrowings per recent thread commentary</w:t>
            </w:r>
          </w:p>
        </w:tc>
      </w:tr>
      <w:tr>
        <w:tc>
          <w:tcPr>
            <w:tcW w:type="dxa" w:w="3200"/>
            <w:shd w:fill="F2F2F2" w:val="clear"/>
          </w:tcPr>
          <w:p>
            <w:r>
              <w:rPr>
                <w:b/>
                <w:bCs/>
              </w:rPr>
              <w:t xml:space="preserve">Revenue growth</w:t>
            </w:r>
          </w:p>
        </w:tc>
        <w:tc>
          <w:tcPr>
            <w:tcW w:type="dxa" w:w="5800"/>
          </w:tcPr>
          <w:p>
            <w:r>
              <w:t xml:space="preserve">FY26 guided Rs 100 Cr, actual came in at only ~Rs 58 Cr -- missed guidance by ~42%</w:t>
            </w:r>
          </w:p>
        </w:tc>
      </w:tr>
      <w:tr>
        <w:tc>
          <w:tcPr>
            <w:tcW w:type="dxa" w:w="3200"/>
            <w:shd w:fill="F2F2F2" w:val="clear"/>
          </w:tcPr>
          <w:p>
            <w:r>
              <w:rPr>
                <w:b/>
                <w:bCs/>
              </w:rPr>
              <w:t xml:space="preserve">52-week range</w:t>
            </w:r>
          </w:p>
        </w:tc>
        <w:tc>
          <w:tcPr>
            <w:tcW w:type="dxa" w:w="5800"/>
          </w:tcPr>
          <w:p>
            <w:r>
              <w:t xml:space="preserve">Rs 89 - 155</w:t>
            </w:r>
          </w:p>
        </w:tc>
      </w:tr>
    </w:tbl>
    <w:p>
      <w:pPr>
        <w:spacing w:after="100"/>
      </w:pPr>
    </w:p>
    <w:p>
      <w:pPr>
        <w:spacing w:after="120"/>
      </w:pPr>
      <w:r>
        <w:t xml:space="preserve">Historical capital efficiency metrics (ROCE/ROE in the 55-60%+ range) are excellent, but the trailing average is now stale: FY26 revenue guidance of Rs 100 Cr was missed by roughly 42% (actual ~Rs 58 Cr), driven by repeated delays in commissioning a new manufacturing facility. Management has now twice failed to deliver on stated capacity-expansion timelines, and cash flow generation has deteriorated (negative operating cash flow, rising short-term borrowings) even as reported profits looked healthy in earlier periods.</w:t>
      </w:r>
    </w:p>
    <w:p>
      <w:pPr>
        <w:pStyle w:val="Heading1"/>
        <w:spacing w:after="120" w:before="280"/>
      </w:pPr>
      <w:r>
        <w:t xml:space="preserve">Technical Read (Weekly / Monthly MACD + Bollinger Bands, or RSI/CCI/Williams %R proxy)</w:t>
      </w:r>
    </w:p>
    <w:p>
      <w:pPr>
        <w:spacing w:after="120"/>
      </w:pPr>
      <w:r>
        <w:t xml:space="preserve">Not checked -- the execution-credibility question was decisive.</w:t>
      </w:r>
    </w:p>
    <w:p>
      <w:pPr>
        <w:pStyle w:val="Heading1"/>
        <w:spacing w:after="120" w:before="280"/>
      </w:pPr>
      <w:r>
        <w:t xml:space="preserve">ValuePickr Community Signal</w:t>
      </w:r>
    </w:p>
    <w:p>
      <w:pPr>
        <w:spacing w:after="120"/>
      </w:pPr>
      <w:r>
        <w:t xml:space="preserve">Read the full thread (32 posts spanning Jul 2025 to Aug 2026, first-time read, no escalation needed). Sentiment clearly deteriorated over the thread's life: early optimism (rk1771's detailed writeup, foreign and WHO orders) gave way to visible frustration after the FY26 guidance miss ('abysmal results,' 'underdelivered,' 'management not able to walk the talk') as the new facility repeatedly failed to come online on the stated timeline.</w:t>
      </w:r>
    </w:p>
    <w:p>
      <w:pPr>
        <w:spacing w:after="120"/>
      </w:pPr>
      <w:r>
        <w:rPr>
          <w:b/>
          <w:bCs/>
          <w:sz w:val="20"/>
          <w:szCs w:val="20"/>
        </w:rPr>
        <w:t xml:space="preserve">High-conviction call from a top contributor: </w:t>
      </w:r>
      <w:r>
        <w:rPr>
          <w:sz w:val="20"/>
          <w:szCs w:val="20"/>
        </w:rPr>
        <w:t xml:space="preserve">No trusted-roster user staked a bull conviction call; Satishwe (trusted, elevated) only moderated thread formatting. The most substantive recent voice (Pratik_Shetty, non-trusted) noted MD/promoter Manoj Kumar Gupta has been buying aggressively on the open market (holding up from 48.68% to 49.40%, Jul-Aug 2026) even as the stock and results languished -- a genuine positive counter-signal, alongside an unconfirmed mention of a prospective large, unannounced defense project.</w:t>
      </w:r>
    </w:p>
    <w:p>
      <w:pPr>
        <w:pStyle w:val="Heading1"/>
        <w:spacing w:after="120" w:before="280"/>
      </w:pPr>
      <w:r>
        <w:t xml:space="preserve">BSE Corporate Actions / Other Red Flags</w:t>
      </w:r>
    </w:p>
    <w:p>
      <w:pPr>
        <w:spacing w:after="120"/>
      </w:pPr>
      <w:r>
        <w:t xml:space="preserve">Not checked beyond thread-referenced BSE/NSE intimation filings (order wins, facility commissioning updates).</w:t>
      </w:r>
    </w:p>
    <w:p>
      <w:pPr>
        <w:pStyle w:val="Heading1"/>
        <w:spacing w:after="120" w:before="280"/>
      </w:pPr>
      <w:r>
        <w:t xml:space="preserve">Bull Case</w:t>
      </w:r>
    </w:p>
    <w:p>
      <w:pPr>
        <w:pStyle w:val="ListParagraph"/>
        <w:numPr>
          <w:ilvl w:val="0"/>
          <w:numId w:val="1"/>
        </w:numPr>
        <w:spacing w:after="60"/>
      </w:pPr>
      <w:r>
        <w:t xml:space="preserve">Genuine niche moat (acoustic solutions) with historically excellent capital efficiency, and a large, real addressable market for the new PVNB (photovoltaic noise barrier) product line -- India has 145,000+ km of national highways</w:t>
      </w:r>
    </w:p>
    <w:p>
      <w:pPr>
        <w:pStyle w:val="ListParagraph"/>
        <w:numPr>
          <w:ilvl w:val="0"/>
          <w:numId w:val="1"/>
        </w:numPr>
        <w:spacing w:after="60"/>
      </w:pPr>
      <w:r>
        <w:t xml:space="preserve">MD/promoter has been buying shares aggressively on the open market through the guidance-miss period, and an unconfirmed large defense project is mentioned as a potential near-term catalyst</w:t>
      </w:r>
    </w:p>
    <w:p>
      <w:pPr>
        <w:pStyle w:val="Heading1"/>
        <w:spacing w:after="120" w:before="280"/>
      </w:pPr>
      <w:r>
        <w:t xml:space="preserve">Bear Case / Key Risks</w:t>
      </w:r>
    </w:p>
    <w:p>
      <w:pPr>
        <w:pStyle w:val="ListParagraph"/>
        <w:numPr>
          <w:ilvl w:val="0"/>
          <w:numId w:val="1"/>
        </w:numPr>
        <w:spacing w:after="60"/>
      </w:pPr>
      <w:r>
        <w:t xml:space="preserve">Repeated, specific execution failures -- FY26 revenue guidance missed by ~42%, and the new facility's commissioning timeline has now slipped more than once with management giving no clear new date -- have visibly eroded community trust in management's forward statements</w:t>
      </w:r>
    </w:p>
    <w:p>
      <w:pPr>
        <w:pStyle w:val="ListParagraph"/>
        <w:numPr>
          <w:ilvl w:val="0"/>
          <w:numId w:val="1"/>
        </w:numPr>
        <w:spacing w:after="60"/>
      </w:pPr>
      <w:r>
        <w:t xml:space="preserve">Cash flow has deteriorated (negative operating cash flow, rising short-term borrowings) even though historical reported profitability metrics look excellent, raising a real quality-of-guidance concern</w:t>
      </w:r>
    </w:p>
    <w:p>
      <w:pPr>
        <w:pStyle w:val="Heading1"/>
        <w:spacing w:after="120" w:before="280"/>
      </w:pPr>
      <w:r>
        <w:t xml:space="preserve">Market-Cap Tier (informational — not a gate in this project)</w:t>
      </w:r>
    </w:p>
    <w:p>
      <w:pPr>
        <w:spacing w:after="120"/>
      </w:pPr>
      <w:r>
        <w:rPr>
          <w:b/>
          <w:bCs/>
        </w:rPr>
        <w:t xml:space="preserve">Small-cap (~Rs 251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niche moat, but a credibility-damaging pattern of missed guidance overrides the historical numbers for now</w:t>
      </w:r>
    </w:p>
    <w:p>
      <w:pPr>
        <w:pStyle w:val="ListParagraph"/>
        <w:numPr>
          <w:ilvl w:val="0"/>
          <w:numId w:val="1"/>
        </w:numPr>
        <w:spacing w:after="60"/>
      </w:pPr>
      <w:r>
        <w:t xml:space="preserve">Unlike the 'weak trailing average hides a real recent-quarter improvement' pattern this screen looks for, this is the inverse -- strong historical metrics are now trailing a genuinely deteriorating recent trend (missed guidance, delayed capacity, worsening cash flow) with no confirmed catalyst to offset it</w:t>
      </w:r>
    </w:p>
    <w:p>
      <w:pPr>
        <w:pStyle w:val="ListParagraph"/>
        <w:numPr>
          <w:ilvl w:val="0"/>
          <w:numId w:val="1"/>
        </w:numPr>
        <w:spacing w:after="60"/>
      </w:pPr>
      <w:r>
        <w:t xml:space="preserve">Insider buying and PVNB/defense optionality are worth a future re-check once the new facility's commissioning is actually confirmed and one clean quarter of results restores some guidance credibility, but don't yet clear this project's bar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2026-08-25T14:03:28.151Z</dcterms:created>
  <dcterms:modified xsi:type="dcterms:W3CDTF">2026-08-25T14:03:28.156Z</dcterms:modified>
</cp:coreProperties>
</file>

<file path=docProps/custom.xml><?xml version="1.0" encoding="utf-8"?>
<Properties xmlns="http://schemas.openxmlformats.org/officeDocument/2006/custom-properties" xmlns:vt="http://schemas.openxmlformats.org/officeDocument/2006/docPropsVTypes"/>
</file>