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Epigral Ltd</w:t>
      </w:r>
    </w:p>
    <w:p>
      <w:pPr>
        <w:pBdr>
          <w:bottom w:val="single" w:color="CCCCCC" w:sz="6" w:space="8"/>
        </w:pBdr>
        <w:spacing w:after="200"/>
      </w:pPr>
      <w:r>
        <w:rPr>
          <w:i/>
          <w:iCs/>
          <w:color w:val="666666"/>
          <w:sz w:val="22"/>
          <w:szCs w:val="22"/>
        </w:rPr>
        <w:t xml:space="preserve">Formerly Meghmani Finechem — integrated chlorotoluene/chemicals manufacturer with strong trailing returns but sharp recent stock decline</w:t>
      </w:r>
    </w:p>
    <w:p>
      <w:pPr>
        <w:pStyle w:val="Heading1"/>
        <w:spacing w:after="120" w:before="280"/>
      </w:pPr>
      <w:r>
        <w:t xml:space="preserve">Business Overview</w:t>
      </w:r>
    </w:p>
    <w:p>
      <w:pPr>
        <w:spacing w:after="120"/>
      </w:pPr>
      <w:r>
        <w:t xml:space="preserve">Epigral Limited (formerly Meghmani Finechem Ltd) is an integrated manufacturer of chemicals, having recently commissioned a chlorotoluene value chain feeding pharmaceutical and agrochemical intermediates.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4,658 Cr (down ~42% in 1 year)</w:t>
            </w:r>
          </w:p>
        </w:tc>
      </w:tr>
      <w:tr>
        <w:tc>
          <w:tcPr>
            <w:tcW w:type="dxa" w:w="3200"/>
            <w:shd w:fill="F2F2F2" w:val="clear"/>
          </w:tcPr>
          <w:p>
            <w:r>
              <w:rPr>
                <w:b/>
                <w:bCs/>
              </w:rPr>
              <w:t xml:space="preserve">Revenue / Profit</w:t>
            </w:r>
          </w:p>
        </w:tc>
        <w:tc>
          <w:tcPr>
            <w:tcW w:type="dxa" w:w="5800"/>
          </w:tcPr>
          <w:p>
            <w:r>
              <w:t xml:space="preserve">Rs 2,626 Cr / Rs 272 Cr</w:t>
            </w:r>
          </w:p>
        </w:tc>
      </w:tr>
      <w:tr>
        <w:tc>
          <w:tcPr>
            <w:tcW w:type="dxa" w:w="3200"/>
            <w:shd w:fill="F2F2F2" w:val="clear"/>
          </w:tcPr>
          <w:p>
            <w:r>
              <w:rPr>
                <w:b/>
                <w:bCs/>
              </w:rPr>
              <w:t xml:space="preserve">ROCE / ROE</w:t>
            </w:r>
          </w:p>
        </w:tc>
        <w:tc>
          <w:tcPr>
            <w:tcW w:type="dxa" w:w="5800"/>
          </w:tcPr>
          <w:p>
            <w:r>
              <w:t xml:space="preserve">Conflicting across sources: 32.1%/39.4% per one, 15.7%/16.1% per another</w:t>
            </w:r>
          </w:p>
        </w:tc>
      </w:tr>
      <w:tr>
        <w:tc>
          <w:tcPr>
            <w:tcW w:type="dxa" w:w="3200"/>
            <w:shd w:fill="F2F2F2" w:val="clear"/>
          </w:tcPr>
          <w:p>
            <w:r>
              <w:rPr>
                <w:b/>
                <w:bCs/>
              </w:rPr>
              <w:t xml:space="preserve">Revenue CAGR</w:t>
            </w:r>
          </w:p>
        </w:tc>
        <w:tc>
          <w:tcPr>
            <w:tcW w:type="dxa" w:w="5800"/>
          </w:tcPr>
          <w:p>
            <w:r>
              <w:t xml:space="preserve">24.99% (vs industry 7.39%)</w:t>
            </w:r>
          </w:p>
        </w:tc>
      </w:tr>
      <w:tr>
        <w:tc>
          <w:tcPr>
            <w:tcW w:type="dxa" w:w="3200"/>
            <w:shd w:fill="F2F2F2" w:val="clear"/>
          </w:tcPr>
          <w:p>
            <w:r>
              <w:rPr>
                <w:b/>
                <w:bCs/>
              </w:rPr>
              <w:t xml:space="preserve">Debt / D-E</w:t>
            </w:r>
          </w:p>
        </w:tc>
        <w:tc>
          <w:tcPr>
            <w:tcW w:type="dxa" w:w="5800"/>
          </w:tcPr>
          <w:p>
            <w:r>
              <w:t xml:space="preserve">Rs 971 Cr / 0.86</w:t>
            </w:r>
          </w:p>
        </w:tc>
      </w:tr>
      <w:tr>
        <w:tc>
          <w:tcPr>
            <w:tcW w:type="dxa" w:w="3200"/>
            <w:shd w:fill="F2F2F2" w:val="clear"/>
          </w:tcPr>
          <w:p>
            <w:r>
              <w:rPr>
                <w:b/>
                <w:bCs/>
              </w:rPr>
              <w:t xml:space="preserve">Promoter holding</w:t>
            </w:r>
          </w:p>
        </w:tc>
        <w:tc>
          <w:tcPr>
            <w:tcW w:type="dxa" w:w="5800"/>
          </w:tcPr>
          <w:p>
            <w:r>
              <w:t xml:space="preserve">68.8%, 0% pledged</w:t>
            </w:r>
          </w:p>
        </w:tc>
      </w:tr>
    </w:tbl>
    <w:p>
      <w:pPr>
        <w:spacing w:after="100"/>
      </w:pPr>
    </w:p>
    <w:p>
      <w:pPr>
        <w:spacing w:after="120"/>
      </w:pPr>
      <w:r>
        <w:t xml:space="preserve">No ValuePickr thread was found for this company, so this assessment rests on fundamentals only. Revenue growth is strong and well above industry, promoter holding is high and stable with no pledge. However, ROCE/ROE figures are materially inconsistent across data sources (32%/39% vs 16%/16%), which is a real data-quality caveat rather than a settled strong-quality read, and debt is moderate (D/E 0.86) rather than the near-zero leverage seen in several peers screened this run (Vinati, Clean Science, PI Industries).</w:t>
      </w:r>
    </w:p>
    <w:p>
      <w:pPr>
        <w:pStyle w:val="Heading1"/>
        <w:spacing w:after="120" w:before="280"/>
      </w:pPr>
      <w:r>
        <w:t xml:space="preserve">Technical Read (Weekly / Monthly MACD + Bollinger Bands, or RSI/CCI/Williams %R proxy)</w:t>
      </w:r>
    </w:p>
    <w:p>
      <w:pPr>
        <w:spacing w:after="120"/>
      </w:pPr>
      <w:r>
        <w:t xml:space="preserve">Stock is down ~42% over the trailing year — a sharp de-rating despite the chlorotoluene value-chain commissioning, which management expects to contribute meaningfully from FY27.</w:t>
      </w:r>
    </w:p>
    <w:p>
      <w:pPr>
        <w:pStyle w:val="Heading1"/>
        <w:spacing w:after="120" w:before="280"/>
      </w:pPr>
      <w:r>
        <w:t xml:space="preserve">ValuePickr Community Signal</w:t>
      </w:r>
    </w:p>
    <w:p>
      <w:pPr>
        <w:spacing w:after="120"/>
      </w:pPr>
      <w:r>
        <w:t xml:space="preserve">No ValuePickr thread found for this company — proceeded on fundamentals and news only, per the task's honesty requirement. A dedicated search for 'Epigral' surfaced adjacent threads (Meghmani Finechem/Meghmani Organics discussions) but nothing that could be confirmed as this specific company's own dedicated thread.</w:t>
      </w:r>
    </w:p>
    <w:p>
      <w:pPr>
        <w:spacing w:after="120"/>
      </w:pPr>
      <w:r>
        <w:rPr>
          <w:b/>
          <w:bCs/>
          <w:sz w:val="20"/>
          <w:szCs w:val="20"/>
        </w:rPr>
        <w:t xml:space="preserve">High-conviction call from a top contributor: </w:t>
      </w:r>
      <w:r>
        <w:rPr>
          <w:sz w:val="20"/>
          <w:szCs w:val="20"/>
        </w:rPr>
        <w:t xml:space="preserve">No ValuePickr community signal available — no verified thread found.</w:t>
      </w:r>
    </w:p>
    <w:p>
      <w:pPr>
        <w:pStyle w:val="Heading1"/>
        <w:spacing w:after="120" w:before="280"/>
      </w:pPr>
      <w:r>
        <w:t xml:space="preserve">BSE Corporate Actions / Other Red Flags</w:t>
      </w:r>
    </w:p>
    <w:p>
      <w:pPr>
        <w:spacing w:after="120"/>
      </w:pPr>
      <w:r>
        <w:t xml:space="preserve">No SEBI/regulatory action found. Promoter holding is high (68.8%) and unpledged, with no collapse signal.</w:t>
      </w:r>
    </w:p>
    <w:p>
      <w:pPr>
        <w:pStyle w:val="Heading1"/>
        <w:spacing w:after="120" w:before="280"/>
      </w:pPr>
      <w:r>
        <w:t xml:space="preserve">Bull Case</w:t>
      </w:r>
    </w:p>
    <w:p>
      <w:pPr>
        <w:pStyle w:val="ListParagraph"/>
        <w:numPr>
          <w:ilvl w:val="0"/>
          <w:numId w:val="1"/>
        </w:numPr>
        <w:spacing w:after="60"/>
      </w:pPr>
      <w:r>
        <w:t xml:space="preserve">Revenue growth well ahead of industry (25% CAGR vs 7.4%)</w:t>
      </w:r>
    </w:p>
    <w:p>
      <w:pPr>
        <w:pStyle w:val="ListParagraph"/>
        <w:numPr>
          <w:ilvl w:val="0"/>
          <w:numId w:val="1"/>
        </w:numPr>
        <w:spacing w:after="60"/>
      </w:pPr>
      <w:r>
        <w:t xml:space="preserve">New chlorotoluene value chain, catering to pharma/agro intermediates, expected to contribute meaningfully from FY27 — a concrete forward catalyst</w:t>
      </w:r>
    </w:p>
    <w:p>
      <w:pPr>
        <w:pStyle w:val="ListParagraph"/>
        <w:numPr>
          <w:ilvl w:val="0"/>
          <w:numId w:val="1"/>
        </w:numPr>
        <w:spacing w:after="60"/>
      </w:pPr>
      <w:r>
        <w:t xml:space="preserve">High, stable, unpledged promoter holding (68.8%)</w:t>
      </w:r>
    </w:p>
    <w:p>
      <w:pPr>
        <w:pStyle w:val="Heading1"/>
        <w:spacing w:after="120" w:before="280"/>
      </w:pPr>
      <w:r>
        <w:t xml:space="preserve">Bear Case / Key Risks</w:t>
      </w:r>
    </w:p>
    <w:p>
      <w:pPr>
        <w:pStyle w:val="ListParagraph"/>
        <w:numPr>
          <w:ilvl w:val="0"/>
          <w:numId w:val="1"/>
        </w:numPr>
        <w:spacing w:after="60"/>
      </w:pPr>
      <w:r>
        <w:t xml:space="preserve">Sharp 42% one-year price decline despite the growth narrative suggests the market is pricing in real concerns not fully visible in headline growth figures</w:t>
      </w:r>
    </w:p>
    <w:p>
      <w:pPr>
        <w:pStyle w:val="ListParagraph"/>
        <w:numPr>
          <w:ilvl w:val="0"/>
          <w:numId w:val="1"/>
        </w:numPr>
        <w:spacing w:after="60"/>
      </w:pPr>
      <w:r>
        <w:t xml:space="preserve">Materially conflicting ROCE/ROE data across sources undermines confidence in the quality-gate read</w:t>
      </w:r>
    </w:p>
    <w:p>
      <w:pPr>
        <w:pStyle w:val="ListParagraph"/>
        <w:numPr>
          <w:ilvl w:val="0"/>
          <w:numId w:val="1"/>
        </w:numPr>
        <w:spacing w:after="60"/>
      </w:pPr>
      <w:r>
        <w:t xml:space="preserve">No ValuePickr community discussion available to sanity-check the thesis or surface risks a pure-fundamentals read would miss</w:t>
      </w:r>
    </w:p>
    <w:p>
      <w:pPr>
        <w:pStyle w:val="ListParagraph"/>
        <w:numPr>
          <w:ilvl w:val="0"/>
          <w:numId w:val="1"/>
        </w:numPr>
        <w:spacing w:after="60"/>
      </w:pPr>
      <w:r>
        <w:t xml:space="preserve">Debt (D/E 0.86) is meaningfully higher than several debt-free peers in the same sector screened this run</w:t>
      </w:r>
    </w:p>
    <w:p>
      <w:pPr>
        <w:pStyle w:val="Heading1"/>
        <w:spacing w:after="120" w:before="280"/>
      </w:pPr>
      <w:r>
        <w:t xml:space="preserve">Market-Cap Tier (informational — not a gate in this project)</w:t>
      </w:r>
    </w:p>
    <w:p>
      <w:pPr>
        <w:spacing w:after="120"/>
      </w:pPr>
      <w:r>
        <w:rPr>
          <w:b/>
          <w:bCs/>
        </w:rPr>
        <w:t xml:space="preserve">Small-cap (~Rs 4,658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Promising new capacity catalyst, but data-quality gaps and a sharp price decline argue for waiting on confirmation</w:t>
      </w:r>
    </w:p>
    <w:p>
      <w:pPr>
        <w:pStyle w:val="ListParagraph"/>
        <w:numPr>
          <w:ilvl w:val="0"/>
          <w:numId w:val="1"/>
        </w:numPr>
        <w:spacing w:after="60"/>
      </w:pPr>
      <w:r>
        <w:t xml:space="preserve">Growth and promoter-holding metrics are genuinely attractive on the surface</w:t>
      </w:r>
    </w:p>
    <w:p>
      <w:pPr>
        <w:pStyle w:val="ListParagraph"/>
        <w:numPr>
          <w:ilvl w:val="0"/>
          <w:numId w:val="1"/>
        </w:numPr>
        <w:spacing w:after="60"/>
      </w:pPr>
      <w:r>
        <w:t xml:space="preserve">But conflicting ROCE/ROE data and the absence of any ValuePickr community cross-check make this a weaker-confidence call than peers screened this run with active threads</w:t>
      </w:r>
    </w:p>
    <w:p>
      <w:pPr>
        <w:pStyle w:val="ListParagraph"/>
        <w:numPr>
          <w:ilvl w:val="0"/>
          <w:numId w:val="1"/>
        </w:numPr>
        <w:spacing w:after="60"/>
      </w:pPr>
      <w:r>
        <w:t xml:space="preserve">Revisit once FY27 chlorotoluene contribution is visible in reported results and ROCE/ROE data can be confirmed against a single reliable source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2026-08-22T03:01:54.042Z</dcterms:created>
  <dcterms:modified xsi:type="dcterms:W3CDTF">2026-08-22T03:01:54.045Z</dcterms:modified>
</cp:coreProperties>
</file>

<file path=docProps/custom.xml><?xml version="1.0" encoding="utf-8"?>
<Properties xmlns="http://schemas.openxmlformats.org/officeDocument/2006/custom-properties" xmlns:vt="http://schemas.openxmlformats.org/officeDocument/2006/docPropsVTypes"/>
</file>