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Eris Lifesciences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Acquisitive domestic-formulations pharma (diabetes/cardiac/derma, now insulins + GLP-1s + injectables via Biocon/Swiss Parenterals) deleveraging fast - but a ~Rs 18,000 Cr large-cap growing low-teens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Eris Lifesciences is a branded domestic-formulations company (top-20 in the Indian pharma market) historically strong in diabetes, cardiac and VMN. Over FY22-25 it spent ~Rs 3,510 Cr on acquisitions - Oaknet (derma), Glenmark/Dr Reddy's derma brands, Biocon's domestic nephro/onco and India injectables, and a 51% stake in Swiss Parenterals - moving into sterile injectables, insulins and GLP-1s. It is now in-sourcing insulin manufacturing and commercialising a 'first-to-market' oral-hypoglycaemic and RHI-cartridge pipeline.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18,407 Cr (large-cap); down ~25% over the past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~13.6% / ~16.2%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3,230 Cr; Profit ~Rs 666 Cr; ~21% long-run revenue CAGR (acquisition-aided)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growth</w:t>
            </w:r>
          </w:p>
        </w:tc>
        <w:tc>
          <w:tcPr>
            <w:tcW w:type="dxa" w:w="5800"/>
          </w:tcPr>
          <w:p>
            <w:r>
              <w:t xml:space="preserve">Q1 FY27 revenue +13%, EBITDA +7% (margin 33.9% vs 35.8%), PAT +14%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 down from ~Rs 3,000 Cr+ (Mar-24) to ~Rs 2,270 Cr; target &lt;Rs 1,800 Cr by end-FY27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1,237.90 - 1,909.55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Eris has executed its acquisition-integration playbook well - margins on acquired portfolios (Biocon, Swiss) have expanded sharply post-deal, and net debt has fallen ~Rs 750 Cr+ in 18 months, ahead of schedule. But organic growth is now low-teens, gross margins have drifted down ~300 bps on mix (lower-margin Biocon products), and recent quarters show EBITDA growing slower than revenue. The forward catalysts - the Novo Nordisk insulin-pen withdrawal (~Rs 200 Cr opportunity), a 14-16% share in GLP-1s and insulin glargine/RHIs, CDMO contracts - are real but incremental against an ~Rs 18,400 Cr market cap, and the core oral-anti-diabetic franchise is materially underperforming the market.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is near the lower end of its 52-week band, down ~25% over the year.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138 posts, of which ~14 are in the last two years. Trusted user ranvir (elevated) is the analyst-of-record, posting detailed results/concall notes every quarter from Q4 FY24 through Q1 FY27 - consistently crediting Eris's 'eye-popping' margin turnarounds on acquired assets and its ahead-of-plan deleveraging, while noting the accelerated depreciation/amortisation/finance-cost drag on reported PAT and, more recently, decelerating organic growth and OAD underperformance. Trusted user manoopatil (elevated) expects faster-than-guided debt repayment. Midhunjoe (trusted) flagged the insulin-pen-shortage opportunity but is 'not invested, studying'. Malolan_R (non-trusted, holder) has repeatedly cautioned that management's aggressive acquisition appetite could lead to 'accidents'.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(trusted, elevated) provides high-quality, continuous coverage and is broadly positive on execution (integration, deleveraging) while flagging slowing organic growth. manoopatil (trusted) is constructive on debt reduction. No trusted user is expressing a multi-bagger conviction; the tone is 'well-run, fairly valued, watch the growth rate'.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2026-08-02 — ranvir</w:t>
      </w:r>
      <w:r>
        <w:rPr>
          <w:i/>
          <w:iCs/>
          <w:color w:val="666666"/>
          <w:sz w:val="18"/>
          <w:szCs w:val="18"/>
        </w:rPr>
        <w:t xml:space="preserve"> (Eris Lifesciences)</w:t>
      </w:r>
      <w:r>
        <w:rPr>
          <w:sz w:val="20"/>
          <w:szCs w:val="20"/>
        </w:rPr>
        <w:br/>
        <w:t xml:space="preserve">: Q1 FY27: revenue +13%, EBITDA +7% (margin 33.9% vs 35.8%), PAT +14%. Credits insulin (+27% vs IPM +4.5%, now ~16% share) and GLP-1 (~14% share) but flags OAD growth of just 1.9% vs IPM +11.5% and Swiss Parenterals EBITDA -19% with EU CAPA underway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~Rs 3,510 Cr of acquisitions over FY22-25 (Oaknet, Glenmark/DRL derma brands, Biocon domestic nephro/onco + India injectables, 51% Swiss Parenterals). Swiss Parenterals executing EU CAPA (corrective/preventive actions) - a compliance item to monitor. No SEBI action. Trade-generics business deliberately wound down from Q1 FY26.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Proven ability to acquire mid-margin pharma assets and expand their margins materially post-integration (Biocon portfolio EBITDA margin ~19% -&gt; ~30%)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Deleveraging ahead of schedule - net debt down ~Rs 750 Cr+ in 18 months, targeting &lt;Rs 1,800 Cr by end-FY27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growth vectors: insulin in-sourcing, ~14-16% share in GLP-1s / insulin glargine+RHIs, the ~Rs 200 Cr Novo pen-withdrawal gap, CDMO contracts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de-rated ~25%, so valuation is less stretched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18,400 Cr large-cap growing organic revenue only low-teens - no path to a 2-3 year multi-bagger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margins drifting down on mix; recent quarters show EBITDA growing slower than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oral-anti-diabetic franchise growing ~2% vs IPM ~11-12% - a share-loss problem in the historical stronghold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reported D&amp;A/finance-cost drag from the acquisition spree; Swiss Parenterals EU CAPA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continued acquisition appetite is a capital-allocation risk (flagged by a long-term holder)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18,407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- a well-run, de-levering branded-pharma large-cap, but low-teens organic growth at ~Rs 18,400 Cr leaves no multi-bagger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are decent (ROE ~16%) and execution is good, but at ~Rs 18,400 Cr with low-teens organic growth neither the 10x/2-3yr nor the 100x/10yr bar is achievable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Recent-quarter trend is actually softening (EBITDA growth &lt; revenue growth, gross-margin drift, OAD franchise losing share) - no inflection to lean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a quality name for a different mandate, not this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only if organic growth re-accelerates materially (e.g. insulin/GLP-1 scale-up surprises) or valuation resets much further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2026-08-27T03:01:48.286Z</dcterms:created>
  <dcterms:modified xsi:type="dcterms:W3CDTF">2026-08-27T03:01:48.286Z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