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Firstsource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RP-Sanjiv Goenka Group BPO/BFSI-Healthcare services firm growing via acquisitions and large deal wins, despite a recent profit-plunge quarter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Firstsource Solutions, part of the RP-Sanjiv Goenka Group, provides business process management (BPO) services across Banking &amp; Financial Services, Healthcare, and Communications/Media/Technology verticals.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19,514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16.8% / 17.6%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19.67% (vs. industry median 3.91%)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24.4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Long-term debt</w:t>
            </w:r>
          </w:p>
        </w:tc>
        <w:tc>
          <w:tcPr>
            <w:tcW w:type="dxa" w:w="5800"/>
          </w:tcPr>
          <w:p>
            <w:r>
              <w:t xml:space="preserve">Rs 341.9 Cr (up from zero in 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201 - 382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ROCE (16.8%) and ROE (17.6%) with revenue growth (19.67% CAGR) massively outpacing the industry median (3.91%). New long-term debt (Rs 341.9 Cr, up from zero) is explained by a string of recent acquisitions rather than distress, but a Q3 FY26 'profit plunge' headline alongside continued revenue growth suggests integration/investment costs are pressuring near-term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around Rs 276, roughly mid-range within its Rs 201-382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Moderately active VP thread (43 replies, last activity 2026-06-23) with recent focus on the company's acquisition-led growth strategy.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shyamutty (2026-06-23, 1 love) listed Firstsource's recent moves: a Rs 100 Cr investment in AppliedAI (Nov 2025), the TeleMedik acquisition (~$3M), the Pastdue Credit Solutions acquisition (£22M), four large deals signed with ACV over $5M each, and 17 large deals won in FY26 overall — also noting HDFC Small Cap fund has taken a large position in FSL, an institutional-interest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the new long-term debt appears tied to disclosed acquisitions (AppliedAI, TeleMedik, Pastdue Credit Solutions) rather than an undisclosed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19.67% revenue CAGR vs. 3.91% industry median shows genuine market-share gains, not just organic drift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Active, disciplined M&amp;A (AI capability via AppliedAI, healthcare via TeleMedik, BFSI collections via Pastdue) building out a broader services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 large deals won in FY26 with several exceeding $5M ACV — real, quantified new business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HDFC Small Cap fund holding a large position is a credible institutional-conviction signal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'profit plunge' despite revenue growth signals real near-term margin/integration cost pressure from the acquisition spree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leverage (Rs 341.9 Cr long-term debt, from zero) adds financial risk while integration is still underway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19,514 Cr, already a well-covered mid-large-cap — a 10x/100x re-rating needs far more than steady BPO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BPO/BFS services margins are structurally thinner and more competitive than product/IP businesses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Mid-large-cap (~Rs 19,514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acquisition-led growth story with institutional backing — but too large already and margin pressure needs to resolve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and real deal-win momentum are positives, backed by a credible institutional holder (HDFC Small Cap)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profit plunge and new debt from acquisitions need to show a clear payoff before this looks re-rating-ready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size alone rules out a 10x/100x fit for this specific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2026-08-22T02:20:29.283Z</dcterms:created>
  <dcterms:modified xsi:type="dcterms:W3CDTF">2026-08-22T02:20:29.291Z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