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Freshara Agro Exports Ltd</w:t>
      </w:r>
    </w:p>
    <w:p>
      <w:pPr>
        <w:pBdr>
          <w:bottom w:val="single" w:color="CCCCCC" w:sz="6" w:space="8"/>
        </w:pBdr>
        <w:spacing w:after="200"/>
      </w:pPr>
      <w:r>
        <w:rPr>
          <w:i/>
          <w:iCs/>
          <w:color w:val="666666"/>
          <w:sz w:val="22"/>
          <w:szCs w:val="22"/>
        </w:rPr>
        <w:t xml:space="preserve">Micro-cap gherkins exporter that just doubled capacity and expanded into Spain, delivering a record quarter — but burning cash to get there</w:t>
      </w:r>
    </w:p>
    <w:p>
      <w:pPr>
        <w:pStyle w:val="Heading1"/>
        <w:spacing w:after="120" w:before="280"/>
      </w:pPr>
      <w:r>
        <w:t xml:space="preserve">Business Overview</w:t>
      </w:r>
    </w:p>
    <w:p>
      <w:pPr>
        <w:spacing w:after="120"/>
      </w:pPr>
      <w:r>
        <w:t xml:space="preserve">Freshara Agro Exports is India's 3rd largest gherkins exporter, recently commissioning a second processing unit (near 2x capacity expansion) and acquiring the largest olive processor in Spain to diversify beyond India, positioned against a globally concentrated gherkin/cucumber supply market (China alone ~83-84% of global production).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745 Cr</w:t>
            </w:r>
          </w:p>
        </w:tc>
      </w:tr>
      <w:tr>
        <w:tc>
          <w:tcPr>
            <w:tcW w:type="dxa" w:w="3200"/>
            <w:shd w:fill="F2F2F2" w:val="clear"/>
          </w:tcPr>
          <w:p>
            <w:r>
              <w:rPr>
                <w:b/>
                <w:bCs/>
              </w:rPr>
              <w:t xml:space="preserve">ROCE</w:t>
            </w:r>
          </w:p>
        </w:tc>
        <w:tc>
          <w:tcPr>
            <w:tcW w:type="dxa" w:w="5800"/>
          </w:tcPr>
          <w:p>
            <w:r>
              <w:t xml:space="preserve">20.9%</w:t>
            </w:r>
          </w:p>
        </w:tc>
      </w:tr>
      <w:tr>
        <w:tc>
          <w:tcPr>
            <w:tcW w:type="dxa" w:w="3200"/>
            <w:shd w:fill="F2F2F2" w:val="clear"/>
          </w:tcPr>
          <w:p>
            <w:r>
              <w:rPr>
                <w:b/>
                <w:bCs/>
              </w:rPr>
              <w:t xml:space="preserve">ROE</w:t>
            </w:r>
          </w:p>
        </w:tc>
        <w:tc>
          <w:tcPr>
            <w:tcW w:type="dxa" w:w="5800"/>
          </w:tcPr>
          <w:p>
            <w:r>
              <w:t xml:space="preserve">24.0% (29.0% 3-yr)</w:t>
            </w:r>
          </w:p>
        </w:tc>
      </w:tr>
      <w:tr>
        <w:tc>
          <w:tcPr>
            <w:tcW w:type="dxa" w:w="3200"/>
            <w:shd w:fill="F2F2F2" w:val="clear"/>
          </w:tcPr>
          <w:p>
            <w:r>
              <w:rPr>
                <w:b/>
                <w:bCs/>
              </w:rPr>
              <w:t xml:space="preserve">P/E</w:t>
            </w:r>
          </w:p>
        </w:tc>
        <w:tc>
          <w:tcPr>
            <w:tcW w:type="dxa" w:w="5800"/>
          </w:tcPr>
          <w:p>
            <w:r>
              <w:t xml:space="preserve">20.6</w:t>
            </w:r>
          </w:p>
        </w:tc>
      </w:tr>
      <w:tr>
        <w:tc>
          <w:tcPr>
            <w:tcW w:type="dxa" w:w="3200"/>
            <w:shd w:fill="F2F2F2" w:val="clear"/>
          </w:tcPr>
          <w:p>
            <w:r>
              <w:rPr>
                <w:b/>
                <w:bCs/>
              </w:rPr>
              <w:t xml:space="preserve">TTM Revenue / Net Profit</w:t>
            </w:r>
          </w:p>
        </w:tc>
        <w:tc>
          <w:tcPr>
            <w:tcW w:type="dxa" w:w="5800"/>
          </w:tcPr>
          <w:p>
            <w:r>
              <w:t xml:space="preserve">~Rs 281 Cr / ~Rs 32 Cr</w:t>
            </w:r>
          </w:p>
        </w:tc>
      </w:tr>
      <w:tr>
        <w:tc>
          <w:tcPr>
            <w:tcW w:type="dxa" w:w="3200"/>
            <w:shd w:fill="F2F2F2" w:val="clear"/>
          </w:tcPr>
          <w:p>
            <w:r>
              <w:rPr>
                <w:b/>
                <w:bCs/>
              </w:rPr>
              <w:t xml:space="preserve">Debtor days</w:t>
            </w:r>
          </w:p>
        </w:tc>
        <w:tc>
          <w:tcPr>
            <w:tcW w:type="dxa" w:w="5800"/>
          </w:tcPr>
          <w:p>
            <w:r>
              <w:t xml:space="preserve">Improved 220 → 142</w:t>
            </w:r>
          </w:p>
        </w:tc>
      </w:tr>
    </w:tbl>
    <w:p>
      <w:pPr>
        <w:spacing w:after="100"/>
      </w:pPr>
    </w:p>
    <w:p>
      <w:pPr>
        <w:spacing w:after="120"/>
      </w:pPr>
      <w:r>
        <w:t xml:space="preserve">Genuinely strong, confirmed recent growth: Q4 FY26 revenue hit an all-time high, full-year revenue grew 34% and PAT 32%. ROE (24.0%) and ROCE (20.9%) are both strong. However, gaurav (trusted) flagged negative operating cash flows and margin compression as real concerns in the same results read — growth is being funded rather than self-generated, which raises working-capital and dilution risk heading into what he called a 'make or break' FY27. Re-verified 2026-08-22: growth and returns confirmed strong, with working-capital metrics (debtor days) improving — a genuine, concrete positive alongside the capacity/Spain-acquisition catalysts.</w:t>
      </w:r>
    </w:p>
    <w:p>
      <w:pPr>
        <w:pStyle w:val="Heading1"/>
        <w:spacing w:after="120" w:before="280"/>
      </w:pPr>
      <w:r>
        <w:t xml:space="preserve">Technical Read (Weekly / Monthly MACD + Bollinger Bands, or RSI/CCI/Williams %R proxy)</w:t>
      </w:r>
    </w:p>
    <w:p>
      <w:pPr>
        <w:spacing w:after="120"/>
      </w:pPr>
      <w:r>
        <w:t xml:space="preserve">Not pulled this pass. Per the trusted-thread queueing quote (vikas_sinha), the stock has already run almost 3x in about six months, with the Spain acquisition news breaking 'exactly at the lowest level' — a highly speculative, momentum-driven price history typical of a micro-cap re-rating.</w:t>
      </w:r>
    </w:p>
    <w:p>
      <w:pPr>
        <w:pStyle w:val="Heading1"/>
        <w:spacing w:after="120" w:before="280"/>
      </w:pPr>
      <w:r>
        <w:t xml:space="preserve">ValuePickr Community Signal</w:t>
      </w:r>
    </w:p>
    <w:p>
      <w:pPr>
        <w:spacing w:after="120"/>
      </w:pPr>
      <w:r>
        <w:t xml:space="preserve">Read all 16 posts in this small, brand-new thread. Mayank_Jham's opening post frames this as a classic 'inflexion-point setup' — doubled capacity plus international diversification. The most recent post (gaurav, trusted) provides a balanced, non-promotional read of the just-released Q4 FY26 results: real growth, but with explicit caveats around cash flow and margins.</w:t>
      </w:r>
    </w:p>
    <w:p>
      <w:pPr>
        <w:spacing w:after="120"/>
      </w:pPr>
      <w:r>
        <w:rPr>
          <w:b/>
          <w:bCs/>
          <w:sz w:val="20"/>
          <w:szCs w:val="20"/>
        </w:rPr>
        <w:t xml:space="preserve">High-conviction call from a top contributor: </w:t>
      </w:r>
      <w:r>
        <w:rPr>
          <w:sz w:val="20"/>
          <w:szCs w:val="20"/>
        </w:rPr>
        <w:t xml:space="preserve">gaurav (trusted) gave the most substantive and recent assessment: confirmed strong topline/profit growth beating expectations, but explicitly cautioned against treating management's forward commentary as guidance ('through word play it looks more of an ambition'), and flagged negative operating cash flow, margin compression, and the need to watch working capital and a potential fund raise in FY27. This is a measured, risk-aware trusted view rather than blanket bullishness — consistent with vikas_sinha's original queueing mention, which described the stock's rapid re-rating as a 'booster effect' rather than a deep fundamental conviction call.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 (Q4 FY26 results reaction) — gaurav, vikas_sinha (both trusted)</w:t>
      </w:r>
      <w:r>
        <w:rPr>
          <w:i/>
          <w:iCs/>
          <w:color w:val="666666"/>
          <w:sz w:val="18"/>
          <w:szCs w:val="18"/>
        </w:rPr>
        <w:t xml:space="preserve"> (Freshara Agro Exports company thread + The Anti-Portfolio (queueing source))</w:t>
      </w:r>
      <w:r>
        <w:rPr>
          <w:sz w:val="20"/>
          <w:szCs w:val="20"/>
        </w:rPr>
        <w:br/>
        <w:t xml:space="preserve">: vikas_sinha flagged Freshara as a new addition that 'performed... almost 3x but took only about half a year.' gaurav's more recent, detailed Q4 FY26 read confirms genuine growth (revenue +34%, PAT +32%) but flags negative operating cash flow, margin compression, and a potential FY27 fund raise as real risks to watch.</w:t>
      </w:r>
    </w:p>
    <w:p>
      <w:pPr>
        <w:pStyle w:val="Heading1"/>
        <w:spacing w:after="120" w:before="280"/>
      </w:pPr>
      <w:r>
        <w:t xml:space="preserve">BSE Corporate Actions / Other Red Flags</w:t>
      </w:r>
    </w:p>
    <w:p>
      <w:pPr>
        <w:spacing w:after="120"/>
      </w:pPr>
      <w:r>
        <w:t xml:space="preserve">No SEBI/regulatory action found. No promoter-holding or solvency red flags identified — the negative operating cash flow is a capex/working-capital funding pattern consistent with the recent capacity doubling and Spain acquisition, not a going-concern signal.</w:t>
      </w:r>
    </w:p>
    <w:p>
      <w:pPr>
        <w:pStyle w:val="Heading1"/>
        <w:spacing w:after="120" w:before="280"/>
      </w:pPr>
      <w:r>
        <w:t xml:space="preserve">Bull Case</w:t>
      </w:r>
    </w:p>
    <w:p>
      <w:pPr>
        <w:pStyle w:val="ListParagraph"/>
        <w:numPr>
          <w:ilvl w:val="0"/>
          <w:numId w:val="1"/>
        </w:numPr>
        <w:spacing w:after="60"/>
      </w:pPr>
      <w:r>
        <w:t xml:space="preserve">Confirmed, real, recent growth: FY26 revenue +34%, PAT +32%, with Q4 hitting an all-time-high quarterly revenue</w:t>
      </w:r>
    </w:p>
    <w:p>
      <w:pPr>
        <w:pStyle w:val="ListParagraph"/>
        <w:numPr>
          <w:ilvl w:val="0"/>
          <w:numId w:val="1"/>
        </w:numPr>
        <w:spacing w:after="60"/>
      </w:pPr>
      <w:r>
        <w:t xml:space="preserve">Two concrete, already-executed growth catalysts (2x domestic capacity expansion, Spain olive-processor acquisition) rather than just a forward promise</w:t>
      </w:r>
    </w:p>
    <w:p>
      <w:pPr>
        <w:pStyle w:val="ListParagraph"/>
        <w:numPr>
          <w:ilvl w:val="0"/>
          <w:numId w:val="1"/>
        </w:numPr>
        <w:spacing w:after="60"/>
      </w:pPr>
      <w:r>
        <w:t xml:space="preserve">Tiny market cap (Rs 418-745 Cr) makes 10x mathematically plausible if execution continues</w:t>
      </w:r>
    </w:p>
    <w:p>
      <w:pPr>
        <w:pStyle w:val="ListParagraph"/>
        <w:numPr>
          <w:ilvl w:val="0"/>
          <w:numId w:val="1"/>
        </w:numPr>
        <w:spacing w:after="60"/>
      </w:pPr>
      <w:r>
        <w:t xml:space="preserve">Strong ROE/ROCE (24.0% / 20.9%) despite the young growth-investment phase</w:t>
      </w:r>
    </w:p>
    <w:p>
      <w:pPr>
        <w:pStyle w:val="Heading1"/>
        <w:spacing w:after="120" w:before="280"/>
      </w:pPr>
      <w:r>
        <w:t xml:space="preserve">Bear Case / Key Risks</w:t>
      </w:r>
    </w:p>
    <w:p>
      <w:pPr>
        <w:pStyle w:val="ListParagraph"/>
        <w:numPr>
          <w:ilvl w:val="0"/>
          <w:numId w:val="1"/>
        </w:numPr>
        <w:spacing w:after="60"/>
      </w:pPr>
      <w:r>
        <w:t xml:space="preserve">Negative operating cash flow and margin compression, explicitly flagged by a trusted user in the same results that showed strong headline growth — growth is being funded, not self-financed</w:t>
      </w:r>
    </w:p>
    <w:p>
      <w:pPr>
        <w:pStyle w:val="ListParagraph"/>
        <w:numPr>
          <w:ilvl w:val="0"/>
          <w:numId w:val="1"/>
        </w:numPr>
        <w:spacing w:after="60"/>
      </w:pPr>
      <w:r>
        <w:t xml:space="preserve">gaurav (trusted) explicitly called FY27 a 'make or break year' with a potential dilutive fund raise on the horizon</w:t>
      </w:r>
    </w:p>
    <w:p>
      <w:pPr>
        <w:pStyle w:val="ListParagraph"/>
        <w:numPr>
          <w:ilvl w:val="0"/>
          <w:numId w:val="1"/>
        </w:numPr>
        <w:spacing w:after="60"/>
      </w:pPr>
      <w:r>
        <w:t xml:space="preserve">Stock has already re-rated almost 3x in roughly six months — much of the current catalyst story may already be reflected in the price</w:t>
      </w:r>
    </w:p>
    <w:p>
      <w:pPr>
        <w:pStyle w:val="ListParagraph"/>
        <w:numPr>
          <w:ilvl w:val="0"/>
          <w:numId w:val="1"/>
        </w:numPr>
        <w:spacing w:after="60"/>
      </w:pPr>
      <w:r>
        <w:t xml:space="preserve">Very thin trading history and small size mean elevated volatility and execution risk typical of recently-scaled micro-caps</w:t>
      </w:r>
    </w:p>
    <w:p>
      <w:pPr>
        <w:pStyle w:val="Heading1"/>
        <w:spacing w:after="120" w:before="280"/>
      </w:pPr>
      <w:r>
        <w:t xml:space="preserve">Market-Cap Tier (informational — not a gate in this project)</w:t>
      </w:r>
    </w:p>
    <w:p>
      <w:pPr>
        <w:spacing w:after="120"/>
      </w:pPr>
      <w:r>
        <w:rPr>
          <w:b/>
          <w:bCs/>
        </w:rPr>
        <w:t xml:space="preserve">micro-cap</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A real, confirmed growth inflexion backed by concrete capacity and geographic catalysts — but cash-flow-negative and entering a self-described make-or-break year</w:t>
      </w:r>
    </w:p>
    <w:p>
      <w:pPr>
        <w:pStyle w:val="ListParagraph"/>
        <w:numPr>
          <w:ilvl w:val="0"/>
          <w:numId w:val="1"/>
        </w:numPr>
        <w:spacing w:after="60"/>
      </w:pPr>
      <w:r>
        <w:t xml:space="preserve">Per the methodology-fix rule, a short/thin trailing history shouldn't sink thesis_fit when there's a strong, specific, recent-quarter catalyst — and here there are two concrete catalysts (capacity doubling, Spain acquisition) plus confirmed Q4 FY26 all-time-high revenue and 32%+ profit growth.</w:t>
      </w:r>
    </w:p>
    <w:p>
      <w:pPr>
        <w:pStyle w:val="ListParagraph"/>
        <w:numPr>
          <w:ilvl w:val="0"/>
          <w:numId w:val="1"/>
        </w:numPr>
        <w:spacing w:after="60"/>
      </w:pPr>
      <w:r>
        <w:t xml:space="preserve">The trusted signal is genuine but measured rather than a blanket endorsement: gaurav's detailed, recent read is explicitly risk-aware (negative operating cash flow, margin compression, potential dilution), which is exactly the kind of nuance this project should preserve rather than smooth over.</w:t>
      </w:r>
    </w:p>
    <w:p>
      <w:pPr>
        <w:pStyle w:val="ListParagraph"/>
        <w:numPr>
          <w:ilvl w:val="0"/>
          <w:numId w:val="1"/>
        </w:numPr>
        <w:spacing w:after="60"/>
      </w:pPr>
      <w:r>
        <w:t xml:space="preserve">No red flag was found — the negative cash flow reflects capex/working-capital funding of real expansion, not a going-concern issue — so per the conviction floor for very-high trusted candidates, conviction is set to Medium-High.</w:t>
      </w:r>
    </w:p>
    <w:p>
      <w:pPr>
        <w:pStyle w:val="ListParagraph"/>
        <w:numPr>
          <w:ilvl w:val="0"/>
          <w:numId w:val="1"/>
        </w:numPr>
        <w:spacing w:after="60"/>
      </w:pPr>
      <w:r>
        <w:t xml:space="preserve">At this tiny market cap with confirmed real growth and concrete catalysts, 10x-in-2-3-years is a credible thesis, but FY27 execution (self-described as 'make or break') is the swing factor to track closely.</w:t>
      </w:r>
    </w:p>
    <w:p>
      <w:pPr>
        <w:pStyle w:val="ListParagraph"/>
        <w:numPr>
          <w:ilvl w:val="0"/>
          <w:numId w:val="1"/>
        </w:numPr>
        <w:spacing w:after="60"/>
      </w:pPr>
      <w:r>
        <w:t xml:space="preserve">Re-verification pass (2026-08-22): source (vikas_sinha) is elevated-tier, not top-tier — no automatic floor. Conviction reassessed at Medium (down from Medium-High): a real, confirmed growth inflexion with concrete catalysts (capacity doubling, Spain acquisitions, improving debtor days), but the most substantive and recent trusted read (gaurav) explicitly cautions against treating management commentary as guidance and flags negative operating cash flow and margin compression in what is a self-described make-or-break year.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2026-08-22T17:19:19.875Z</dcterms:created>
  <dcterms:modified xsi:type="dcterms:W3CDTF">2026-08-22T17:19:19.876Z</dcterms:modified>
</cp:coreProperties>
</file>

<file path=docProps/custom.xml><?xml version="1.0" encoding="utf-8"?>
<Properties xmlns="http://schemas.openxmlformats.org/officeDocument/2006/custom-properties" xmlns:vt="http://schemas.openxmlformats.org/officeDocument/2006/docPropsVTypes"/>
</file>