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GEE Ltd</w:t>
      </w:r>
    </w:p>
    <w:p>
      <w:pPr>
        <w:pBdr>
          <w:bottom w:val="single" w:color="CCCCCC" w:sz="6" w:space="8"/>
        </w:pBdr>
        <w:spacing w:after="200"/>
      </w:pPr>
      <w:r>
        <w:rPr>
          <w:i/>
          <w:iCs/>
          <w:color w:val="666666"/>
          <w:sz w:val="22"/>
          <w:szCs w:val="22"/>
        </w:rPr>
        <w:t xml:space="preserve">Micro-cap welding-consumables maker with a weak multi-year return record, a Q4 FY26 turnaround, ~44% of promoter holding pledged and rising working-capital days -- not a 10x/100x candidate</w:t>
      </w:r>
    </w:p>
    <w:p>
      <w:pPr>
        <w:pStyle w:val="Heading1"/>
        <w:spacing w:after="120" w:before="280"/>
      </w:pPr>
      <w:r>
        <w:t xml:space="preserve">Business Overview</w:t>
      </w:r>
    </w:p>
    <w:p>
      <w:pPr>
        <w:spacing w:after="120"/>
      </w:pPr>
      <w:r>
        <w:t xml:space="preserve">GEE Ltd manufactures welding consumables (electrodes, wires, fluxes) and allied welding equipment, supplying fabrication, infrastructure, shipbuilding and general engineering customers. It competes with larger players such as Ador Welding and ESAB India.</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711 Cr</w:t>
            </w:r>
          </w:p>
        </w:tc>
      </w:tr>
      <w:tr>
        <w:tc>
          <w:tcPr>
            <w:tcW w:type="dxa" w:w="3200"/>
            <w:shd w:fill="F2F2F2" w:val="clear"/>
          </w:tcPr>
          <w:p>
            <w:r>
              <w:rPr>
                <w:b/>
                <w:bCs/>
              </w:rPr>
              <w:t xml:space="preserve">ROCE / ROE</w:t>
            </w:r>
          </w:p>
        </w:tc>
        <w:tc>
          <w:tcPr>
            <w:tcW w:type="dxa" w:w="5800"/>
          </w:tcPr>
          <w:p>
            <w:r>
              <w:t xml:space="preserve">~11.1% / ~7.5% (3-yr ROE ~3.2%)</w:t>
            </w:r>
          </w:p>
        </w:tc>
      </w:tr>
      <w:tr>
        <w:tc>
          <w:tcPr>
            <w:tcW w:type="dxa" w:w="3200"/>
            <w:shd w:fill="F2F2F2" w:val="clear"/>
          </w:tcPr>
          <w:p>
            <w:r>
              <w:rPr>
                <w:b/>
                <w:bCs/>
              </w:rPr>
              <w:t xml:space="preserve">Revenue growth</w:t>
            </w:r>
          </w:p>
        </w:tc>
        <w:tc>
          <w:tcPr>
            <w:tcW w:type="dxa" w:w="5800"/>
          </w:tcPr>
          <w:p>
            <w:r>
              <w:t xml:space="preserve">~7.9% 5-yr sales CAGR (poor)</w:t>
            </w:r>
          </w:p>
        </w:tc>
      </w:tr>
      <w:tr>
        <w:tc>
          <w:tcPr>
            <w:tcW w:type="dxa" w:w="3200"/>
            <w:shd w:fill="F2F2F2" w:val="clear"/>
          </w:tcPr>
          <w:p>
            <w:r>
              <w:rPr>
                <w:b/>
                <w:bCs/>
              </w:rPr>
              <w:t xml:space="preserve">Valuation</w:t>
            </w:r>
          </w:p>
        </w:tc>
        <w:tc>
          <w:tcPr>
            <w:tcW w:type="dxa" w:w="5800"/>
          </w:tcPr>
          <w:p>
            <w:r>
              <w:t xml:space="preserve">~3.2x book value</w:t>
            </w:r>
          </w:p>
        </w:tc>
      </w:tr>
      <w:tr>
        <w:tc>
          <w:tcPr>
            <w:tcW w:type="dxa" w:w="3200"/>
            <w:shd w:fill="F2F2F2" w:val="clear"/>
          </w:tcPr>
          <w:p>
            <w:r>
              <w:rPr>
                <w:b/>
                <w:bCs/>
              </w:rPr>
              <w:t xml:space="preserve">Promoter pledge</w:t>
            </w:r>
          </w:p>
        </w:tc>
        <w:tc>
          <w:tcPr>
            <w:tcW w:type="dxa" w:w="5800"/>
          </w:tcPr>
          <w:p>
            <w:r>
              <w:t xml:space="preserve">~43.6% of promoter holding pledged</w:t>
            </w:r>
          </w:p>
        </w:tc>
      </w:tr>
      <w:tr>
        <w:tc>
          <w:tcPr>
            <w:tcW w:type="dxa" w:w="3200"/>
            <w:shd w:fill="F2F2F2" w:val="clear"/>
          </w:tcPr>
          <w:p>
            <w:r>
              <w:rPr>
                <w:b/>
                <w:bCs/>
              </w:rPr>
              <w:t xml:space="preserve">Working capital</w:t>
            </w:r>
          </w:p>
        </w:tc>
        <w:tc>
          <w:tcPr>
            <w:tcW w:type="dxa" w:w="5800"/>
          </w:tcPr>
          <w:p>
            <w:r>
              <w:t xml:space="preserve">Working-capital days risen from ~53.7 to ~94.6</w:t>
            </w:r>
          </w:p>
        </w:tc>
      </w:tr>
      <w:tr>
        <w:tc>
          <w:tcPr>
            <w:tcW w:type="dxa" w:w="3200"/>
            <w:shd w:fill="F2F2F2" w:val="clear"/>
          </w:tcPr>
          <w:p>
            <w:r>
              <w:rPr>
                <w:b/>
                <w:bCs/>
              </w:rPr>
              <w:t xml:space="preserve">Recent quarter</w:t>
            </w:r>
          </w:p>
        </w:tc>
        <w:tc>
          <w:tcPr>
            <w:tcW w:type="dxa" w:w="5800"/>
          </w:tcPr>
          <w:p>
            <w:r>
              <w:t xml:space="preserve">Q4 FY26 described by external analysts as a 'stellar turnaround' but with persistent structural concerns</w:t>
            </w:r>
          </w:p>
        </w:tc>
      </w:tr>
    </w:tbl>
    <w:p>
      <w:pPr>
        <w:spacing w:after="100"/>
      </w:pPr>
    </w:p>
    <w:p>
      <w:pPr>
        <w:spacing w:after="120"/>
      </w:pPr>
      <w:r>
        <w:t xml:space="preserve">The trailing record is weak -- ~3% three-year ROE, ~8% five-year sales CAGR, and working-capital days that have nearly doubled. Q4 FY26 showed a sharp profit turnaround, but on a commodity-ish, cyclical welding-consumables base with no evident moat. At ~3.2x book with ~44% of promoter holding pledged, both valuation and governance argue against an asymmetric thesis.</w:t>
      </w:r>
    </w:p>
    <w:p>
      <w:pPr>
        <w:pStyle w:val="Heading1"/>
        <w:spacing w:after="120" w:before="280"/>
      </w:pPr>
      <w:r>
        <w:t xml:space="preserve">Technical Read (Weekly / Monthly MACD + Bollinger Bands, or RSI/CCI/Williams %R proxy)</w:t>
      </w:r>
    </w:p>
    <w:p>
      <w:pPr>
        <w:spacing w:after="120"/>
      </w:pPr>
      <w:r>
        <w:t xml:space="preserve">Not pulled -- filtered on fundamentals and governance at the preliminary stage.</w:t>
      </w:r>
    </w:p>
    <w:p>
      <w:pPr>
        <w:pStyle w:val="Heading1"/>
        <w:spacing w:after="120" w:before="280"/>
      </w:pPr>
      <w:r>
        <w:t xml:space="preserve">ValuePickr Community Signal</w:t>
      </w:r>
    </w:p>
    <w:p>
      <w:pPr>
        <w:spacing w:after="120"/>
      </w:pPr>
      <w:r>
        <w:t xml:space="preserve">No dedicated ValuePickr thread could be confidently identified (forum search surfaced only 'Ador Welding Ltd'). No deep forum read this pass -- entered as a tier-4.8 trusted-X watch; a 'neither' outcome exits with a last_analyzed_date.</w:t>
      </w:r>
    </w:p>
    <w:p>
      <w:pPr>
        <w:spacing w:after="120"/>
      </w:pPr>
      <w:r>
        <w:rPr>
          <w:b/>
          <w:bCs/>
          <w:sz w:val="20"/>
          <w:szCs w:val="20"/>
        </w:rPr>
        <w:t xml:space="preserve">High-conviction call from a top contributor: </w:t>
      </w:r>
      <w:r>
        <w:rPr>
          <w:sz w:val="20"/>
          <w:szCs w:val="20"/>
        </w:rPr>
        <w:t xml:space="preserve">Not assessed on ValuePickr (no confident thread).</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2026-08-19 — a_basumallick (trusted-X handle, snippet only)</w:t>
      </w:r>
      <w:r>
        <w:rPr>
          <w:i/>
          <w:iCs/>
          <w:color w:val="666666"/>
          <w:sz w:val="18"/>
          <w:szCs w:val="18"/>
        </w:rPr>
        <w:t xml:space="preserve"> (X weekly 'STOCK STORY' business write-up (not a ValuePickr post))</w:t>
      </w:r>
      <w:r>
        <w:rPr>
          <w:sz w:val="20"/>
          <w:szCs w:val="20"/>
        </w:rPr>
        <w:br/>
        <w:t xml:space="preserve">: x_watch_note: '@a_basumallick weekly "STOCK STORY" business writeup (welding consumables). Explicitly \'not a recommendation\' -- a documented study, tracked (2026-08-19).' A business study, explicitly NOT a conviction call.</w:t>
      </w:r>
    </w:p>
    <w:p>
      <w:pPr>
        <w:pStyle w:val="Heading1"/>
        <w:spacing w:after="120" w:before="280"/>
      </w:pPr>
      <w:r>
        <w:t xml:space="preserve">BSE Corporate Actions / Other Red Flags</w:t>
      </w:r>
    </w:p>
    <w:p>
      <w:pPr>
        <w:spacing w:after="120"/>
      </w:pPr>
      <w:r>
        <w:t xml:space="preserve">HIGH-CAUTION-adjacent governance item to name: ~43.6% of promoter holding is pledged, and working-capital days have risen from ~53.7 to ~94.6. This is not a promoter-holding collapse or an active SEBI action, so no formal red_flag_tier is set, but the pledge level is a material overhang for a ~Rs 711 Cr micro-cap.</w:t>
      </w:r>
    </w:p>
    <w:p>
      <w:pPr>
        <w:pStyle w:val="Heading1"/>
        <w:spacing w:after="120" w:before="280"/>
      </w:pPr>
      <w:r>
        <w:t xml:space="preserve">Bull Case</w:t>
      </w:r>
    </w:p>
    <w:p>
      <w:pPr>
        <w:pStyle w:val="ListParagraph"/>
        <w:numPr>
          <w:ilvl w:val="0"/>
          <w:numId w:val="1"/>
        </w:numPr>
        <w:spacing w:after="60"/>
      </w:pPr>
      <w:r>
        <w:t xml:space="preserve">Q4 FY26 profit turnaround; company has reduced debt</w:t>
      </w:r>
    </w:p>
    <w:p>
      <w:pPr>
        <w:pStyle w:val="ListParagraph"/>
        <w:numPr>
          <w:ilvl w:val="0"/>
          <w:numId w:val="1"/>
        </w:numPr>
        <w:spacing w:after="60"/>
      </w:pPr>
      <w:r>
        <w:t xml:space="preserve">Welding consumables are a recurring-consumption product tied to India's fabrication / infra / shipbuilding capex</w:t>
      </w:r>
    </w:p>
    <w:p>
      <w:pPr>
        <w:pStyle w:val="ListParagraph"/>
        <w:numPr>
          <w:ilvl w:val="0"/>
          <w:numId w:val="1"/>
        </w:numPr>
        <w:spacing w:after="60"/>
      </w:pPr>
      <w:r>
        <w:t xml:space="preserve">Small base -- operating leverage if volumes and pricing hold</w:t>
      </w:r>
    </w:p>
    <w:p>
      <w:pPr>
        <w:pStyle w:val="Heading1"/>
        <w:spacing w:after="120" w:before="280"/>
      </w:pPr>
      <w:r>
        <w:t xml:space="preserve">Bear Case / Key Risks</w:t>
      </w:r>
    </w:p>
    <w:p>
      <w:pPr>
        <w:pStyle w:val="ListParagraph"/>
        <w:numPr>
          <w:ilvl w:val="0"/>
          <w:numId w:val="1"/>
        </w:numPr>
        <w:spacing w:after="60"/>
      </w:pPr>
      <w:r>
        <w:t xml:space="preserve">Weak returns (3-yr ROE ~3.2%, ROCE ~11%) and poor ~8% 5-yr sales growth -- fails the quality gate</w:t>
      </w:r>
    </w:p>
    <w:p>
      <w:pPr>
        <w:pStyle w:val="ListParagraph"/>
        <w:numPr>
          <w:ilvl w:val="0"/>
          <w:numId w:val="1"/>
        </w:numPr>
        <w:spacing w:after="60"/>
      </w:pPr>
      <w:r>
        <w:t xml:space="preserve">~43.6% of promoter holding pledged; working-capital days nearly doubled</w:t>
      </w:r>
    </w:p>
    <w:p>
      <w:pPr>
        <w:pStyle w:val="ListParagraph"/>
        <w:numPr>
          <w:ilvl w:val="0"/>
          <w:numId w:val="1"/>
        </w:numPr>
        <w:spacing w:after="60"/>
      </w:pPr>
      <w:r>
        <w:t xml:space="preserve">~3.2x book value is not cheap for the return profile</w:t>
      </w:r>
    </w:p>
    <w:p>
      <w:pPr>
        <w:pStyle w:val="ListParagraph"/>
        <w:numPr>
          <w:ilvl w:val="0"/>
          <w:numId w:val="1"/>
        </w:numPr>
        <w:spacing w:after="60"/>
      </w:pPr>
      <w:r>
        <w:t xml:space="preserve">Commodity-like product, no moat, competes with larger Ador Welding / ESAB India</w:t>
      </w:r>
    </w:p>
    <w:p>
      <w:pPr>
        <w:pStyle w:val="ListParagraph"/>
        <w:numPr>
          <w:ilvl w:val="0"/>
          <w:numId w:val="1"/>
        </w:numPr>
        <w:spacing w:after="60"/>
      </w:pPr>
      <w:r>
        <w:t xml:space="preserve">The trusted-X mention was an explicit non-recommendation business study, not a buy signal</w:t>
      </w:r>
    </w:p>
    <w:p>
      <w:pPr>
        <w:pStyle w:val="Heading1"/>
        <w:spacing w:after="120" w:before="280"/>
      </w:pPr>
      <w:r>
        <w:t xml:space="preserve">Market-Cap Tier (informational — not a gate in this project)</w:t>
      </w:r>
    </w:p>
    <w:p>
      <w:pPr>
        <w:spacing w:after="120"/>
      </w:pPr>
      <w:r>
        <w:rPr>
          <w:b/>
          <w:bCs/>
        </w:rPr>
        <w:t xml:space="preserve">Micro-cap (~Rs 711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Weak returns, a pledged promoter and a no-moat commodity product -- a Q4 turnaround doesn't make this a multibagger candidate</w:t>
      </w:r>
    </w:p>
    <w:p>
      <w:pPr>
        <w:pStyle w:val="ListParagraph"/>
        <w:numPr>
          <w:ilvl w:val="0"/>
          <w:numId w:val="1"/>
        </w:numPr>
        <w:spacing w:after="60"/>
      </w:pPr>
      <w:r>
        <w:t xml:space="preserve">Entered as source: trusted-x-watch (@a_basumallick), tier 4.8. The x_watch_note describes a weekly 'STOCK STORY' business write-up on welding consumables, 'explicitly not a recommendation' -- a snippet/study mention, NOT a conviction call. No floor applies.</w:t>
      </w:r>
    </w:p>
    <w:p>
      <w:pPr>
        <w:pStyle w:val="ListParagraph"/>
        <w:numPr>
          <w:ilvl w:val="0"/>
          <w:numId w:val="1"/>
        </w:numPr>
        <w:spacing w:after="60"/>
      </w:pPr>
      <w:r>
        <w:t xml:space="preserve">Weak trailing record (3-yr ROE ~3.2%, ~8% 5-yr sales CAGR) plus a modest Q4 FY26 turnaround, in a micro-cap: the trailing-vs-live-inflection rule would allow an 'unconfirmed 10x' only with a strong specific recent quarter AND a credible catalyst -- neither is present here (commodity product, no named catalyst, ~44% promoter pledge, WC deterioration). Label 'neither'.</w:t>
      </w:r>
    </w:p>
    <w:p>
      <w:pPr>
        <w:pStyle w:val="ListParagraph"/>
        <w:numPr>
          <w:ilvl w:val="0"/>
          <w:numId w:val="1"/>
        </w:numPr>
        <w:spacing w:after="60"/>
      </w:pPr>
      <w:r>
        <w:t xml:space="preserve">Governance concern named prominently (~43.6% promoter pledge) but no formal red_flag_tier -- no promoter-holding collapse, auditor resignation or SEBI action on file.</w:t>
      </w:r>
    </w:p>
    <w:p>
      <w:pPr>
        <w:pStyle w:val="ListParagraph"/>
        <w:numPr>
          <w:ilvl w:val="0"/>
          <w:numId w:val="1"/>
        </w:numPr>
        <w:spacing w:after="60"/>
      </w:pPr>
      <w:r>
        <w:t xml:space="preserve">Conviction Low. No dedicated VP thread resolved; last_post_number_analyzed set to 0. revisit_after_30d false.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2026-09-01T14:09:58.840Z</dcterms:created>
  <dcterms:modified xsi:type="dcterms:W3CDTF">2026-09-01T14:09:58.840Z</dcterms:modified>
</cp:coreProperties>
</file>

<file path=docProps/custom.xml><?xml version="1.0" encoding="utf-8"?>
<Properties xmlns="http://schemas.openxmlformats.org/officeDocument/2006/custom-properties" xmlns:vt="http://schemas.openxmlformats.org/officeDocument/2006/docPropsVTypes"/>
</file>