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GMM Pfaudler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Global glass-lined-equipment leader with heavily compressed trailing margins but a real, unconfirmed recent-quarter profit inflection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GMM Pfaudler, a subsidiary of Pfaudler Inc., is the largest producer of glass-lined equipment (GLE) in India (~50% domestic market share) and its parent is the global market leader and inventor of GLE, serving the pharma/chemical process-equipment cycle.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4,578-5,270 Cr (varying by source/date)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10.6% (3-year); recent-period ROE as low as 3.6%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Net margin</w:t>
            </w:r>
          </w:p>
        </w:tc>
        <w:tc>
          <w:tcPr>
            <w:tcW w:type="dxa" w:w="5800"/>
          </w:tcPr>
          <w:p>
            <w:r>
              <w:t xml:space="preserve">Compressed to ~1.3-5% recently, down from ~12% historically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Rs 3,654 Cr trailing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Recent quarter/catalyst</w:t>
            </w:r>
          </w:p>
        </w:tc>
        <w:tc>
          <w:tcPr>
            <w:tcW w:type="dxa" w:w="5800"/>
          </w:tcPr>
          <w:p>
            <w:r>
              <w:t xml:space="preserve">Q1 (most recent): profit surged +114.3% YoY to Rs 23.9 Cr on revenue +16.4% YoY to Rs 924.8 Cr - a sharp inflection versus the weak trailing average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991.10 - 1,477.50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Debt/Equity</w:t>
            </w:r>
          </w:p>
        </w:tc>
        <w:tc>
          <w:tcPr>
            <w:tcW w:type="dxa" w:w="5800"/>
          </w:tcPr>
          <w:p>
            <w:r>
              <w:t xml:space="preserve">0.88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A textbook weak-trailing-average-versus-strong-recent-quarter case: net margins have compressed from ~12% historically to as low as ~1.3-3.6% ROE recently, but the most recent quarter shows a sharp +114% YoY profit surge alongside solid revenue growth - not yet confirmed as a sustained trend.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this pass.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Read the most recent 50 of 215 available posts (2022-May 2026). Sentiment has been a long-running, analytically detailed 'quality business trading at a beaten-down valuation' debate - a VP-trusted user flagged the valuation disconnect back in 2023, and non-trusted posters have since documented the margin compression in detail, with the most recent post (May 2026) calling it a 'fallen angel' with a growing non-pharma/chemicals order book.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Jadewade (elevated-tier) flagged in Nov 2023 that despite 20.9% 10-year sales CAGR and ~50% domestic market share, the stock had returned -5% since Nov 2020, calling it a good risk-reward candidate 'on paper' given the market's apparent skepticism. Non-trusted posters (rkirana, hardik.ashar) have since documented the mechanics in detail: sales grew 6x over 5 years while the stock stayed flat, net margins compressed sharply (from ~12% to ~5% or lower) even as raw-material costs fell, and almost no analyst coverage exists despite the growth. The thread's final post (May 2026, hardik.ashar) called it a 'fallen angel' with a rapidly growing order book in non-pharma/chemicals sectors.</w:t>
      </w:r>
    </w:p>
    <w:p>
      <w:pPr>
        <w:pStyle w:val="Heading1"/>
        <w:spacing w:after="120" w:before="280"/>
      </w:pPr>
      <w:r>
        <w:t xml:space="preserve">Trusted-User Signals (Ongoing)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Every time a trusted user expresses clear conviction on this stock, most recent first — this section accumulates over time, it isn't a one-time snapshot.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2023-11-22 — Jadewade</w:t>
      </w:r>
      <w:r>
        <w:rPr>
          <w:i/>
          <w:iCs/>
          <w:color w:val="666666"/>
          <w:sz w:val="18"/>
          <w:szCs w:val="18"/>
        </w:rPr>
        <w:t xml:space="preserve"> (GMM Pfaudler: A safe way to play the Pharma/Chemical cycle)</w:t>
      </w:r>
      <w:r>
        <w:rPr>
          <w:sz w:val="20"/>
          <w:szCs w:val="20"/>
        </w:rPr>
        <w:br/>
        <w:t xml:space="preserve">: Flagged that despite a strong 20.9% 10-year sales CAGR and ~50% domestic market share, the stock had returned -5% since Nov 2020, calling it a good risk-reward candidate on paper given apparent market skepticism about order intake.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independently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Global market leadership (largest GLE producer in India, ~50% share; parent is the global inventor/leader) with a long track record of real double-digit sales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Most recent quarter shows a sharp profit inflection (+114.3% YoY) alongside solid revenue growth (+16.4% YoY) - a real, if unconfirmed, turn versus the weak trailing average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Growing order book in non-pharma/chemicals sectors per the thread's most recent (May 2026) post, suggesting diversification beyond the historically cyclical pharma/chemical capex cycle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VP-trusted user flagged this as a good risk-reward candidate back in 2023 given the growth-vs-stock-price disconnect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Severe, multi-year margin compression (net margins down from ~12% to as low as ~1.3-3.6% ROE) that community members have found genuinely confusing to explain from the disclosed P&amp;L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no analyst coverage despite strong historical growth, which cuts both ways - could mean underappreciated, or could mean the market has correctly priced in structural margin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single-quarter profit inflection is not yet confirmed as a sustained trend given multiple recent years of margin deterioration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Small/Mid-cap (~Rs 4,578-5,270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Global category leader with severely compressed trailing margins and an unconfirmed but real recent-quarter profit inflection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This fits the project's specific rule for a weak multi-year trailing average paired with a strong, specific, recent-quarter improvement at a small/mid-cap size - qualifying for a 10x-in-2-3-years call at low conviction with an explicit unconfirmed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global market-leadership position and a VP-trusted user's multi-year risk-reward observation provide some support, but the margin-compression mechanics remain genuinely unexplained by the community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kept Low pending at least one more quarter of confirmation that the profit inflection is durable rather than a one-off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2026-08-24T17:47:44.727Z</dcterms:created>
  <dcterms:modified xsi:type="dcterms:W3CDTF">2026-08-24T17:47:44.728Z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