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GSM Foils Ltd</w:t>
      </w:r>
    </w:p>
    <w:p>
      <w:pPr>
        <w:pBdr>
          <w:bottom w:val="single" w:color="CCCCCC" w:sz="6" w:space="8"/>
        </w:pBdr>
        <w:spacing w:after="200"/>
      </w:pPr>
      <w:r>
        <w:rPr>
          <w:i/>
          <w:iCs/>
          <w:color w:val="666666"/>
          <w:sz w:val="22"/>
          <w:szCs w:val="22"/>
        </w:rPr>
        <w:t xml:space="preserve">NSE-EMERGE micro-cap pharma blister-foil maker with optically spectacular growth and returns -- overshadowed by a violent shareholder dispute (a July-2026 attack on the MD) and credit-fuelled growth funded by repeated equity raises</w:t>
      </w:r>
    </w:p>
    <w:p>
      <w:pPr>
        <w:shd w:fill="FFF0F0" w:val="clear"/>
        <w:spacing w:after="200"/>
      </w:pPr>
      <w:r>
        <w:rPr>
          <w:b/>
          <w:bCs/>
          <w:color w:val="B8860B"/>
          <w:sz w:val="22"/>
          <w:szCs w:val="22"/>
        </w:rPr>
        <w:t xml:space="preserve">RED FLAG TIER: HIGH CAUTION — </w:t>
      </w:r>
      <w:r>
        <w:rPr>
          <w:sz w:val="20"/>
          <w:szCs w:val="20"/>
        </w:rPr>
        <w:t xml:space="preserve">July-2026 exchange filing intimating an attack on the Managing Director, tied to a shareholder demanding a forced buyout of his ~31% stake; compounded by credit-fuelled growth, serial equity dilution and a ~62% market-cap fall over the year.</w:t>
      </w:r>
    </w:p>
    <w:p>
      <w:pPr>
        <w:pStyle w:val="Heading1"/>
        <w:spacing w:after="120" w:before="280"/>
      </w:pPr>
      <w:r>
        <w:t xml:space="preserve">Business Overview</w:t>
      </w:r>
    </w:p>
    <w:p>
      <w:pPr>
        <w:spacing w:after="120"/>
      </w:pPr>
      <w:r>
        <w:t xml:space="preserve">GSM Foils (incorporated 2023, NSE EMERGE) manufactures aluminium blister foil and aluminium pharma strip foil used to package tablets and capsules, positioning itself as a backend supplier to India's formulations and generics industry from a plant in Vasai (East), Palghar, Maharashtra.</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124 Cr (down ~62% over 1 year)</w:t>
            </w:r>
          </w:p>
        </w:tc>
      </w:tr>
      <w:tr>
        <w:tc>
          <w:tcPr>
            <w:tcW w:type="dxa" w:w="3200"/>
            <w:shd w:fill="F2F2F2" w:val="clear"/>
          </w:tcPr>
          <w:p>
            <w:r>
              <w:rPr>
                <w:b/>
                <w:bCs/>
              </w:rPr>
              <w:t xml:space="preserve">Revenue</w:t>
            </w:r>
          </w:p>
        </w:tc>
        <w:tc>
          <w:tcPr>
            <w:tcW w:type="dxa" w:w="5800"/>
          </w:tcPr>
          <w:p>
            <w:r>
              <w:t xml:space="preserve">~Rs 303 Cr; guidance was Rs 240-250 Cr for FY26 (~90% growth)</w:t>
            </w:r>
          </w:p>
        </w:tc>
      </w:tr>
      <w:tr>
        <w:tc>
          <w:tcPr>
            <w:tcW w:type="dxa" w:w="3200"/>
            <w:shd w:fill="F2F2F2" w:val="clear"/>
          </w:tcPr>
          <w:p>
            <w:r>
              <w:rPr>
                <w:b/>
                <w:bCs/>
              </w:rPr>
              <w:t xml:space="preserve">Profit</w:t>
            </w:r>
          </w:p>
        </w:tc>
        <w:tc>
          <w:tcPr>
            <w:tcW w:type="dxa" w:w="5800"/>
          </w:tcPr>
          <w:p>
            <w:r>
              <w:t xml:space="preserve">~Rs 23.6 Cr</w:t>
            </w:r>
          </w:p>
        </w:tc>
      </w:tr>
      <w:tr>
        <w:tc>
          <w:tcPr>
            <w:tcW w:type="dxa" w:w="3200"/>
            <w:shd w:fill="F2F2F2" w:val="clear"/>
          </w:tcPr>
          <w:p>
            <w:r>
              <w:rPr>
                <w:b/>
                <w:bCs/>
              </w:rPr>
              <w:t xml:space="preserve">ROE / ROCE</w:t>
            </w:r>
          </w:p>
        </w:tc>
        <w:tc>
          <w:tcPr>
            <w:tcW w:type="dxa" w:w="5800"/>
          </w:tcPr>
          <w:p>
            <w:r>
              <w:t xml:space="preserve">~30.9% / ~47.8%</w:t>
            </w:r>
          </w:p>
        </w:tc>
      </w:tr>
      <w:tr>
        <w:tc>
          <w:tcPr>
            <w:tcW w:type="dxa" w:w="3200"/>
            <w:shd w:fill="F2F2F2" w:val="clear"/>
          </w:tcPr>
          <w:p>
            <w:r>
              <w:rPr>
                <w:b/>
                <w:bCs/>
              </w:rPr>
              <w:t xml:space="preserve">Revenue growth</w:t>
            </w:r>
          </w:p>
        </w:tc>
        <w:tc>
          <w:tcPr>
            <w:tcW w:type="dxa" w:w="5800"/>
          </w:tcPr>
          <w:p>
            <w:r>
              <w:t xml:space="preserve">Q1 FY26 +147% YoY; multi-year average ~100%+</w:t>
            </w:r>
          </w:p>
        </w:tc>
      </w:tr>
      <w:tr>
        <w:tc>
          <w:tcPr>
            <w:tcW w:type="dxa" w:w="3200"/>
            <w:shd w:fill="F2F2F2" w:val="clear"/>
          </w:tcPr>
          <w:p>
            <w:r>
              <w:rPr>
                <w:b/>
                <w:bCs/>
              </w:rPr>
              <w:t xml:space="preserve">Debtor days</w:t>
            </w:r>
          </w:p>
        </w:tc>
        <w:tc>
          <w:tcPr>
            <w:tcW w:type="dxa" w:w="5800"/>
          </w:tcPr>
          <w:p>
            <w:r>
              <w:t xml:space="preserve">Rising 96.7 -&gt; 133</w:t>
            </w:r>
          </w:p>
        </w:tc>
      </w:tr>
      <w:tr>
        <w:tc>
          <w:tcPr>
            <w:tcW w:type="dxa" w:w="3200"/>
            <w:shd w:fill="F2F2F2" w:val="clear"/>
          </w:tcPr>
          <w:p>
            <w:r>
              <w:rPr>
                <w:b/>
                <w:bCs/>
              </w:rPr>
              <w:t xml:space="preserve">Capital raising</w:t>
            </w:r>
          </w:p>
        </w:tc>
        <w:tc>
          <w:tcPr>
            <w:tcW w:type="dxa" w:w="5800"/>
          </w:tcPr>
          <w:p>
            <w:r>
              <w:t xml:space="preserve">1:10 rights issue (Aug 2025); prior preferential issue; management flagged needing regular fund raises for 2-3 years</w:t>
            </w:r>
          </w:p>
        </w:tc>
      </w:tr>
    </w:tbl>
    <w:p>
      <w:pPr>
        <w:spacing w:after="100"/>
      </w:pPr>
    </w:p>
    <w:p>
      <w:pPr>
        <w:spacing w:after="120"/>
      </w:pPr>
      <w:r>
        <w:t xml:space="preserve">On the face of it, GSM Foils shows ~100%+ revenue growth, ~48% ROCE and a sub-5x earnings multiple. But the market cap has fallen ~62% in a year, growth is acknowledged (even by bulls) to be driven partly by very generous credit terms, and the company has needed repeated equity infusions (rights + preferential) to sustain it. Given the governance events below, the reported profitability should be treated with heavy scepticism.</w:t>
      </w:r>
    </w:p>
    <w:p>
      <w:pPr>
        <w:pStyle w:val="Heading1"/>
        <w:spacing w:after="120" w:before="280"/>
      </w:pPr>
      <w:r>
        <w:t xml:space="preserve">Technical Read (Weekly / Monthly MACD + Bollinger Bands, or RSI/CCI/Williams %R proxy)</w:t>
      </w:r>
    </w:p>
    <w:p>
      <w:pPr>
        <w:spacing w:after="120"/>
      </w:pPr>
      <w:r>
        <w:t xml:space="preserve">Not pulled -- the governance situation overrides a technical view. Market cap down ~62% over the year.</w:t>
      </w:r>
    </w:p>
    <w:p>
      <w:pPr>
        <w:pStyle w:val="Heading1"/>
        <w:spacing w:after="120" w:before="280"/>
      </w:pPr>
      <w:r>
        <w:t xml:space="preserve">ValuePickr Community Signal</w:t>
      </w:r>
    </w:p>
    <w:p>
      <w:pPr>
        <w:spacing w:after="120"/>
      </w:pPr>
      <w:r>
        <w:t xml:space="preserve">Only 13 posts (all read). Early posts (mid-2025) were positive on transparency (monthly updates, concalls) and the growth/guidance. Then the thread goes quiet until July-August 2026, when a trusted user posts an NSE filing headed 'Intimation for attack on MD', and subsequent posts discuss a police report alleging that a shareholder (holding ~31%) pressured the MD to buy out his entire stake for ~Rs 32 Cr and, on refusal, attempted to kill him. This is a severe governance/safety event around a forced stake-sale dispute.</w:t>
      </w:r>
    </w:p>
    <w:p>
      <w:pPr>
        <w:spacing w:after="120"/>
      </w:pPr>
      <w:r>
        <w:rPr>
          <w:b/>
          <w:bCs/>
          <w:sz w:val="20"/>
          <w:szCs w:val="20"/>
        </w:rPr>
        <w:t xml:space="preserve">High-conviction call from a top contributor: </w:t>
      </w:r>
      <w:r>
        <w:rPr>
          <w:sz w:val="20"/>
          <w:szCs w:val="20"/>
        </w:rPr>
        <w:t xml:space="preserve">newrb (trusted, elevated) early on questioned the business differentiator and whether growth was being bought with generous credit. Chandragupta (trusted, elevated) posted the exchange filing disclosing the attack on the MD. No trusted user expresses buy conviction.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2026-07-31 — Chandragupta</w:t>
      </w:r>
      <w:r>
        <w:rPr>
          <w:i/>
          <w:iCs/>
          <w:color w:val="666666"/>
          <w:sz w:val="18"/>
          <w:szCs w:val="18"/>
        </w:rPr>
        <w:t xml:space="preserve"> (GSM Foils: Secular growth play)</w:t>
      </w:r>
      <w:r>
        <w:rPr>
          <w:sz w:val="20"/>
          <w:szCs w:val="20"/>
        </w:rPr>
        <w:br/>
        <w:t xml:space="preserve">: Posted the NSE filing: 'Intimation for attack on MD' -- flagging a serious governance/safety event</w:t>
      </w:r>
    </w:p>
    <w:p>
      <w:pPr>
        <w:spacing w:after="100"/>
      </w:pPr>
      <w:r>
        <w:rPr>
          <w:b/>
          <w:bCs/>
          <w:sz w:val="20"/>
          <w:szCs w:val="20"/>
        </w:rPr>
        <w:t xml:space="preserve">2025-07-18 — newrb</w:t>
      </w:r>
      <w:r>
        <w:rPr>
          <w:i/>
          <w:iCs/>
          <w:color w:val="666666"/>
          <w:sz w:val="18"/>
          <w:szCs w:val="18"/>
        </w:rPr>
        <w:t xml:space="preserve"> (GSM Foils: Secular growth play)</w:t>
      </w:r>
      <w:r>
        <w:rPr>
          <w:sz w:val="20"/>
          <w:szCs w:val="20"/>
        </w:rPr>
        <w:br/>
        <w:t xml:space="preserve">: CAUTION -- 'I wonder what is the differentiator... if they are showing growth by giving very generous credit period to clients'</w:t>
      </w:r>
    </w:p>
    <w:p>
      <w:pPr>
        <w:pStyle w:val="Heading1"/>
        <w:spacing w:after="120" w:before="280"/>
      </w:pPr>
      <w:r>
        <w:t xml:space="preserve">BSE Corporate Actions / Other Red Flags</w:t>
      </w:r>
    </w:p>
    <w:p>
      <w:pPr>
        <w:spacing w:after="120"/>
      </w:pPr>
      <w:r>
        <w:t xml:space="preserve">NSE filing (31 July 2026) intimating an attack on the Managing Director. Thread discussion cites a police report alleging a ~31% shareholder pressured the MD into buying his stake for ~Rs 32 Cr and attempted to kill him on refusal. Combined with a ~62% market-cap fall, credit-fuelled growth and serial dilution, this is a HIGH CAUTION situation.</w:t>
      </w:r>
    </w:p>
    <w:p>
      <w:pPr>
        <w:pStyle w:val="Heading1"/>
        <w:spacing w:after="120" w:before="280"/>
      </w:pPr>
      <w:r>
        <w:t xml:space="preserve">Bull Case</w:t>
      </w:r>
    </w:p>
    <w:p>
      <w:pPr>
        <w:pStyle w:val="ListParagraph"/>
        <w:numPr>
          <w:ilvl w:val="0"/>
          <w:numId w:val="1"/>
        </w:numPr>
        <w:spacing w:after="60"/>
      </w:pPr>
      <w:r>
        <w:t xml:space="preserve">Optically very strong: ~100%+ revenue growth, ~48% ROCE, sub-5x earnings</w:t>
      </w:r>
    </w:p>
    <w:p>
      <w:pPr>
        <w:pStyle w:val="ListParagraph"/>
        <w:numPr>
          <w:ilvl w:val="0"/>
          <w:numId w:val="1"/>
        </w:numPr>
        <w:spacing w:after="60"/>
      </w:pPr>
      <w:r>
        <w:t xml:space="preserve">Structural demand from India's growing formulations/generics and blister-packaging penetration</w:t>
      </w:r>
    </w:p>
    <w:p>
      <w:pPr>
        <w:pStyle w:val="ListParagraph"/>
        <w:numPr>
          <w:ilvl w:val="0"/>
          <w:numId w:val="1"/>
        </w:numPr>
        <w:spacing w:after="60"/>
      </w:pPr>
      <w:r>
        <w:t xml:space="preserve">Diversified client base rather than single-customer concentration</w:t>
      </w:r>
    </w:p>
    <w:p>
      <w:pPr>
        <w:pStyle w:val="ListParagraph"/>
        <w:numPr>
          <w:ilvl w:val="0"/>
          <w:numId w:val="1"/>
        </w:numPr>
        <w:spacing w:after="60"/>
      </w:pPr>
      <w:r>
        <w:t xml:space="preserve">Above-average disclosure for a micro-cap (monthly updates, concalls)</w:t>
      </w:r>
    </w:p>
    <w:p>
      <w:pPr>
        <w:pStyle w:val="Heading1"/>
        <w:spacing w:after="120" w:before="280"/>
      </w:pPr>
      <w:r>
        <w:t xml:space="preserve">Bear Case / Key Risks</w:t>
      </w:r>
    </w:p>
    <w:p>
      <w:pPr>
        <w:pStyle w:val="ListParagraph"/>
        <w:numPr>
          <w:ilvl w:val="0"/>
          <w:numId w:val="1"/>
        </w:numPr>
        <w:spacing w:after="60"/>
      </w:pPr>
      <w:r>
        <w:t xml:space="preserve">A violent shareholder dispute -- July-2026 exchange-disclosed attack on the MD amid a forced stake-sale demand</w:t>
      </w:r>
    </w:p>
    <w:p>
      <w:pPr>
        <w:pStyle w:val="ListParagraph"/>
        <w:numPr>
          <w:ilvl w:val="0"/>
          <w:numId w:val="1"/>
        </w:numPr>
        <w:spacing w:after="60"/>
      </w:pPr>
      <w:r>
        <w:t xml:space="preserve">Growth partly bought with generous credit terms; debtor days rising to 133</w:t>
      </w:r>
    </w:p>
    <w:p>
      <w:pPr>
        <w:pStyle w:val="ListParagraph"/>
        <w:numPr>
          <w:ilvl w:val="0"/>
          <w:numId w:val="1"/>
        </w:numPr>
        <w:spacing w:after="60"/>
      </w:pPr>
      <w:r>
        <w:t xml:space="preserve">Repeated equity raises (rights + preferential) needed to sustain growth -- management itself flagged 2-3 more years of fund-raising</w:t>
      </w:r>
    </w:p>
    <w:p>
      <w:pPr>
        <w:pStyle w:val="ListParagraph"/>
        <w:numPr>
          <w:ilvl w:val="0"/>
          <w:numId w:val="1"/>
        </w:numPr>
        <w:spacing w:after="60"/>
      </w:pPr>
      <w:r>
        <w:t xml:space="preserve">Market cap down ~62% in a year despite the reported numbers -- the market is pricing in something the financials do not show</w:t>
      </w:r>
    </w:p>
    <w:p>
      <w:pPr>
        <w:pStyle w:val="ListParagraph"/>
        <w:numPr>
          <w:ilvl w:val="0"/>
          <w:numId w:val="1"/>
        </w:numPr>
        <w:spacing w:after="60"/>
      </w:pPr>
      <w:r>
        <w:t xml:space="preserve">Incorporated only 2023; short, unproven track record on a tiny EMERGE listing</w:t>
      </w:r>
    </w:p>
    <w:p>
      <w:pPr>
        <w:pStyle w:val="Heading1"/>
        <w:spacing w:after="120" w:before="280"/>
      </w:pPr>
      <w:r>
        <w:t xml:space="preserve">Market-Cap Tier (informational — not a gate in this project)</w:t>
      </w:r>
    </w:p>
    <w:p>
      <w:pPr>
        <w:spacing w:after="120"/>
      </w:pPr>
      <w:r>
        <w:rPr>
          <w:b/>
          <w:bCs/>
        </w:rPr>
        <w:t xml:space="preserve">Micro-cap / SME (~Rs 124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Optically a high-growth, high-ROCE multi-bagger candidate, but a July-2026 attack on the MD in a stake-sale dispute plus credit-fuelled, serially-diluted growth make it uninvestable on this pass</w:t>
      </w:r>
    </w:p>
    <w:p>
      <w:pPr>
        <w:pStyle w:val="ListParagraph"/>
        <w:numPr>
          <w:ilvl w:val="0"/>
          <w:numId w:val="1"/>
        </w:numPr>
        <w:spacing w:after="60"/>
      </w:pPr>
      <w:r>
        <w:t xml:space="preserve">HIGH CAUTION: an exchange-disclosed violent attack on the MD amid a forced-buyout demand is a severe governance and business-continuity risk that overrides the reported fundamentals</w:t>
      </w:r>
    </w:p>
    <w:p>
      <w:pPr>
        <w:pStyle w:val="ListParagraph"/>
        <w:numPr>
          <w:ilvl w:val="0"/>
          <w:numId w:val="1"/>
        </w:numPr>
        <w:spacing w:after="60"/>
      </w:pPr>
      <w:r>
        <w:t xml:space="preserve">Even setting that aside, growth is partly a function of generous credit and repeated equity dilution, and the ~62% market-cap decline suggests the market disbelieves the numbers</w:t>
      </w:r>
    </w:p>
    <w:p>
      <w:pPr>
        <w:pStyle w:val="ListParagraph"/>
        <w:numPr>
          <w:ilvl w:val="0"/>
          <w:numId w:val="1"/>
        </w:numPr>
        <w:spacing w:after="60"/>
      </w:pPr>
      <w:r>
        <w:t xml:space="preserve">Thesis fit 'neither', conviction Low. No revisit while the governance situation is unresolved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2026-08-27T16:50:30.379Z</dcterms:created>
  <dcterms:modified xsi:type="dcterms:W3CDTF">2026-08-27T16:50:30.380Z</dcterms:modified>
</cp:coreProperties>
</file>

<file path=docProps/custom.xml><?xml version="1.0" encoding="utf-8"?>
<Properties xmlns="http://schemas.openxmlformats.org/officeDocument/2006/custom-properties" xmlns:vt="http://schemas.openxmlformats.org/officeDocument/2006/docPropsVTypes"/>
</file>