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Genesys International Corporation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GIS/mapping player, but repeated capital raises and weak cash conversion undercut the thesis</w:t>
      </w:r>
    </w:p>
    <w:p>
      <w:pPr>
        <w:shd w:fill="FFF0F0" w:val="clear"/>
        <w:spacing w:after="200"/>
      </w:pPr>
      <w:r>
        <w:rPr>
          <w:b/>
          <w:bCs/>
          <w:color w:val="1E7A34"/>
          <w:sz w:val="22"/>
          <w:szCs w:val="22"/>
        </w:rPr>
        <w:t xml:space="preserve">RED FLAG TIER: high-caution — </w:t>
      </w:r>
      <w:r>
        <w:rPr>
          <w:sz w:val="20"/>
          <w:szCs w:val="20"/>
        </w:rPr>
        <w:t xml:space="preserve">Repeated capital raises (QIP + rights issue) with weak operating cash flow vs reported profit, plus a CARE Ratings QIP fund-deviation report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Genesys -- geospatial/GIS mapping and 3D digital-twin services for government and infrastructure clients (land records, utility mapping, smart-city projects).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1,200-1,450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7.11% (3yr avg,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5.75%-25.93% (highly variable across periods/sources)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0.25, rising; high debtors of 226 days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22.71%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198.6 - 647.5 (stock down ~70% from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revenue growth but weak trailing ROE, high receivable days, and a stock that has crashed ~70% from its 52-week high. Q1FY27 (Aug 2026) results triggered a 'Strong Sell' downgrade from at least one analyst source on valuation/financial concerns.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fundamentals/community signal were the deciding factor.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110 posts (2025-10 to 2026-08). Thread shows a company that keeps returning to capital markets: a QIP followed by a Rs 139 Cr rights issue, with a CARE Ratings QIP fund-deviation report referenced (Aug 2026). A non-trusted poster (Pinak_Kapadia) flagged that FY26 operating cash flow (Rs 16 Cr) was far below reported profit (~Rs 100 Cr) despite the repeated equity/debt raises -- a real cash-conversion red flag.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Satishwe (trusted, elevated) posted only factual order updates, no explicit conviction call. Today (2026-08-25), an unconfirmed report surfaced of a Rs 240 Cr Ahmedabad 3D-GIS mapping project win -- a potentially large order (~20% of market cap) but not yet disclosed by the company itself.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CARE Ratings QIP fund-deviation report referenced by a forum poster (Aug 2026); Rs 139 Cr rights issue approved Jun 2026 following an earlier QIP.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22.7% revenue CAGR in a growing GIS/digital-twin/smart-city mapping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Unconfirmed Rs 240 Cr Ahmedabad mapping project (2026-08-25) would be a large order relative to market cap if confirmed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Repeated capital raises (QIP then rights issue) despite reported profitability suggest a real cash-conversion problem, not just growth funding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226-day receivable days and a QIP fund-deviation report are governance/working-capital red flags that a single unconfirmed order doesn't offset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1,200-1,450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Growth story undercut by a capital-hungry, cash-conversion-weak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conviction call to anchor a bull case; the trailing cash-flow/dilution pattern is a real, current concern, not a resolved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one recent positive catalyst (Ahmedabad project) is unconfirmed by the company and not enough on its own to outweigh the capital-discipline concerns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2026-08-25T16:05:05.183Z</dcterms:created>
  <dcterms:modified xsi:type="dcterms:W3CDTF">2026-08-25T16:05:05.184Z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