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Godfrey Phillips India Ltd</w:t>
      </w:r>
    </w:p>
    <w:p>
      <w:pPr>
        <w:pBdr>
          <w:bottom w:val="single" w:color="CCCCCC" w:sz="6" w:space="8"/>
        </w:pBdr>
        <w:spacing w:after="200"/>
      </w:pPr>
      <w:r>
        <w:rPr>
          <w:i/>
          <w:iCs/>
          <w:color w:val="666666"/>
          <w:sz w:val="22"/>
          <w:szCs w:val="22"/>
        </w:rPr>
        <w:t xml:space="preserve">Rs 32,962 Cr cigarette maker outgrowing ITC/VST on domestic volumes through 2024, but posting a sharp Q1 FY27 revenue decline more recently</w:t>
      </w:r>
    </w:p>
    <w:p>
      <w:pPr>
        <w:pStyle w:val="Heading1"/>
        <w:spacing w:after="120" w:before="280"/>
      </w:pPr>
      <w:r>
        <w:t xml:space="preserve">Business Overview</w:t>
      </w:r>
    </w:p>
    <w:p>
      <w:pPr>
        <w:spacing w:after="120"/>
      </w:pPr>
      <w:r>
        <w:t xml:space="preserve">Godfrey Phillips is India's second-largest cigarette manufacturer (Marlboro under license from Philip Morris, plus domestic brands), long viewed by the community as an undervalued, professionally-improving business relative to peers ITC and VST Industries.</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32,962 Cr (down 43.4% over 1 yr)</w:t>
            </w:r>
          </w:p>
        </w:tc>
      </w:tr>
      <w:tr>
        <w:tc>
          <w:tcPr>
            <w:tcW w:type="dxa" w:w="3200"/>
            <w:shd w:fill="F2F2F2" w:val="clear"/>
          </w:tcPr>
          <w:p>
            <w:r>
              <w:rPr>
                <w:b/>
                <w:bCs/>
              </w:rPr>
              <w:t xml:space="preserve">ROE</w:t>
            </w:r>
          </w:p>
        </w:tc>
        <w:tc>
          <w:tcPr>
            <w:tcW w:type="dxa" w:w="5800"/>
          </w:tcPr>
          <w:p>
            <w:r>
              <w:t xml:space="preserve">21.56%</w:t>
            </w:r>
          </w:p>
        </w:tc>
      </w:tr>
      <w:tr>
        <w:tc>
          <w:tcPr>
            <w:tcW w:type="dxa" w:w="3200"/>
            <w:shd w:fill="F2F2F2" w:val="clear"/>
          </w:tcPr>
          <w:p>
            <w:r>
              <w:rPr>
                <w:b/>
                <w:bCs/>
              </w:rPr>
              <w:t xml:space="preserve">ROCE</w:t>
            </w:r>
          </w:p>
        </w:tc>
        <w:tc>
          <w:tcPr>
            <w:tcW w:type="dxa" w:w="5800"/>
          </w:tcPr>
          <w:p>
            <w:r>
              <w:t xml:space="preserve">13.36%</w:t>
            </w:r>
          </w:p>
        </w:tc>
      </w:tr>
      <w:tr>
        <w:tc>
          <w:tcPr>
            <w:tcW w:type="dxa" w:w="3200"/>
            <w:shd w:fill="F2F2F2" w:val="clear"/>
          </w:tcPr>
          <w:p>
            <w:r>
              <w:rPr>
                <w:b/>
                <w:bCs/>
              </w:rPr>
              <w:t xml:space="preserve">Revenue CAGR (5-yr)</w:t>
            </w:r>
          </w:p>
        </w:tc>
        <w:tc>
          <w:tcPr>
            <w:tcW w:type="dxa" w:w="5800"/>
          </w:tcPr>
          <w:p>
            <w:r>
              <w:t xml:space="preserve">20.92%</w:t>
            </w:r>
          </w:p>
        </w:tc>
      </w:tr>
      <w:tr>
        <w:tc>
          <w:tcPr>
            <w:tcW w:type="dxa" w:w="3200"/>
            <w:shd w:fill="F2F2F2" w:val="clear"/>
          </w:tcPr>
          <w:p>
            <w:r>
              <w:rPr>
                <w:b/>
                <w:bCs/>
              </w:rPr>
              <w:t xml:space="preserve">Debt</w:t>
            </w:r>
          </w:p>
        </w:tc>
        <w:tc>
          <w:tcPr>
            <w:tcW w:type="dxa" w:w="5800"/>
          </w:tcPr>
          <w:p>
            <w:r>
              <w:t xml:space="preserve">Almost debt-free</w:t>
            </w:r>
          </w:p>
        </w:tc>
      </w:tr>
      <w:tr>
        <w:tc>
          <w:tcPr>
            <w:tcW w:type="dxa" w:w="3200"/>
            <w:shd w:fill="F2F2F2" w:val="clear"/>
          </w:tcPr>
          <w:p>
            <w:r>
              <w:rPr>
                <w:b/>
                <w:bCs/>
              </w:rPr>
              <w:t xml:space="preserve">52-week range</w:t>
            </w:r>
          </w:p>
        </w:tc>
        <w:tc>
          <w:tcPr>
            <w:tcW w:type="dxa" w:w="5800"/>
          </w:tcPr>
          <w:p>
            <w:r>
              <w:t xml:space="preserve">Rs 1,507.43 - Rs 3,947</w:t>
            </w:r>
          </w:p>
        </w:tc>
      </w:tr>
    </w:tbl>
    <w:p>
      <w:pPr>
        <w:spacing w:after="100"/>
      </w:pPr>
    </w:p>
    <w:p>
      <w:pPr>
        <w:spacing w:after="120"/>
      </w:pPr>
      <w:r>
        <w:t xml:space="preserve">Strong trailing profile (ROE 21.56%, near debt-free, 5-year revenue CAGR of ~21%), but the most recent data point is concerning: Q1 FY27 revenue (excl. excise duty) declined 19.2% YoY to Rs 1,191.85 Cr from Rs 1,474.25 Cr in Q1 FY26 — a sharp reversal from the multi-year outperformance the community had been tracking through 2024. Re-verified 2026-08-22: sharp one-year market-cap decline (-43%) confirmed, consistent with the tax-driven revenue headwinds noted in the thread; ROCE (13.4%) is more modest than the ROE headline suggests.</w:t>
      </w:r>
    </w:p>
    <w:p>
      <w:pPr>
        <w:pStyle w:val="Heading1"/>
        <w:spacing w:after="120" w:before="280"/>
      </w:pPr>
      <w:r>
        <w:t xml:space="preserve">Technical Read (Weekly / Monthly MACD + Bollinger Bands, or RSI/CCI/Williams %R proxy)</w:t>
      </w:r>
    </w:p>
    <w:p>
      <w:pPr>
        <w:spacing w:after="120"/>
      </w:pPr>
      <w:r>
        <w:t xml:space="preserve">Not pulled this pass — no browser escalation triggered.</w:t>
      </w:r>
    </w:p>
    <w:p>
      <w:pPr>
        <w:pStyle w:val="Heading1"/>
        <w:spacing w:after="120" w:before="280"/>
      </w:pPr>
      <w:r>
        <w:t xml:space="preserve">ValuePickr Community Signal</w:t>
      </w:r>
    </w:p>
    <w:p>
      <w:pPr>
        <w:spacing w:after="120"/>
      </w:pPr>
      <w:r>
        <w:t xml:space="preserve">Small thread (24 posts total, read in full). dd1474 (trusted, but explicitly discloses no position in Godfrey Phillips — invested in ITC/VST instead) gave a neutral analytical view on why the stock may be undervalued despite the Philip Morris partnership, comparing it to ITC's history of keeping foreign partners as passive observers. harsh.beria93 (trusted) posted detailed volume-growth notes as of Feb 2024, showing Godfrey's domestic cigarette volumes growing double-digit and outperforming both ITC (negative growth) and VST (negative growth) over several quarters, with Marlboro volumes up 27% on lower-priced SKU launches.</w:t>
      </w:r>
    </w:p>
    <w:p>
      <w:pPr>
        <w:spacing w:after="120"/>
      </w:pPr>
      <w:r>
        <w:rPr>
          <w:b/>
          <w:bCs/>
          <w:sz w:val="20"/>
          <w:szCs w:val="20"/>
        </w:rPr>
        <w:t xml:space="preserve">High-conviction call from a top contributor: </w:t>
      </w:r>
      <w:r>
        <w:rPr>
          <w:sz w:val="20"/>
          <w:szCs w:val="20"/>
        </w:rPr>
        <w:t xml:space="preserve">harsh.beria93's (trusted) detailed peer-comparison notes are the substance behind this stock's very-high queueing (his own portfolio thread listed Godfrey Phillips as a recent/working position). However, his notes are dated to the FY24Q2 period (Feb 2024) — well before the sharp Q1 FY27 revenue decline surfaced in the fundamentals search, so the thread does not yet reflect community reaction to that more recent weakness.</w:t>
      </w:r>
    </w:p>
    <w:p>
      <w:pPr>
        <w:pStyle w:val="Heading1"/>
        <w:spacing w:after="120" w:before="280"/>
      </w:pPr>
      <w:r>
        <w:t xml:space="preserve">Trusted-User Signals (Ongoing)</w:t>
      </w:r>
    </w:p>
    <w:p>
      <w:pPr>
        <w:spacing w:after="120"/>
      </w:pPr>
      <w:r>
        <w:rPr>
          <w:i/>
          <w:iCs/>
          <w:color w:val="666666"/>
          <w:sz w:val="18"/>
          <w:szCs w:val="18"/>
        </w:rPr>
        <w:t xml:space="preserve">Every time a trusted user expresses clear conviction on this stock, most recent first — this section accumulates over time, it isn't a one-time snapshot.</w:t>
      </w:r>
    </w:p>
    <w:p>
      <w:pPr>
        <w:spacing w:after="100"/>
      </w:pPr>
      <w:r>
        <w:rPr>
          <w:b/>
          <w:bCs/>
          <w:sz w:val="20"/>
          <w:szCs w:val="20"/>
        </w:rPr>
        <w:t xml:space="preserve">2024-02-04 (in-thread) / backfill (portfolio) — harsh.beria93</w:t>
      </w:r>
      <w:r>
        <w:rPr>
          <w:i/>
          <w:iCs/>
          <w:color w:val="666666"/>
          <w:sz w:val="18"/>
          <w:szCs w:val="18"/>
        </w:rPr>
        <w:t xml:space="preserve"> (Godfrey Phillips company thread (post #20) + The harsh portfolio! (source of queueing))</w:t>
      </w:r>
      <w:r>
        <w:rPr>
          <w:sz w:val="20"/>
          <w:szCs w:val="20"/>
        </w:rPr>
        <w:br/>
        <w:t xml:space="preserve">: Detailed FY24Q2 volume-growth comparison showing Godfrey outperforming ITC and VST on domestic cigarette volumes, with Marlboro +27%. Portfolio thread separately named it a partial-sell-still-held / 'working right now' position.</w:t>
      </w:r>
    </w:p>
    <w:p>
      <w:pPr>
        <w:pStyle w:val="Heading1"/>
        <w:spacing w:after="120" w:before="280"/>
      </w:pPr>
      <w:r>
        <w:t xml:space="preserve">BSE Corporate Actions / Other Red Flags</w:t>
      </w:r>
    </w:p>
    <w:p>
      <w:pPr>
        <w:spacing w:after="120"/>
      </w:pPr>
      <w:r>
        <w:t xml:space="preserve">No SEBI/regulatory action found.</w:t>
      </w:r>
    </w:p>
    <w:p>
      <w:pPr>
        <w:pStyle w:val="Heading1"/>
        <w:spacing w:after="120" w:before="280"/>
      </w:pPr>
      <w:r>
        <w:t xml:space="preserve">Bull Case</w:t>
      </w:r>
    </w:p>
    <w:p>
      <w:pPr>
        <w:pStyle w:val="ListParagraph"/>
        <w:numPr>
          <w:ilvl w:val="0"/>
          <w:numId w:val="1"/>
        </w:numPr>
        <w:spacing w:after="60"/>
      </w:pPr>
      <w:r>
        <w:t xml:space="preserve">Multi-quarter track record (through early 2024) of outgrowing larger peers ITC and VST on domestic cigarette volumes, with a strong Marlboro relaunch story</w:t>
      </w:r>
    </w:p>
    <w:p>
      <w:pPr>
        <w:pStyle w:val="ListParagraph"/>
        <w:numPr>
          <w:ilvl w:val="0"/>
          <w:numId w:val="1"/>
        </w:numPr>
        <w:spacing w:after="60"/>
      </w:pPr>
      <w:r>
        <w:t xml:space="preserve">Clean balance sheet (almost debt-free) with solid ROE (21.56%)</w:t>
      </w:r>
    </w:p>
    <w:p>
      <w:pPr>
        <w:pStyle w:val="ListParagraph"/>
        <w:numPr>
          <w:ilvl w:val="0"/>
          <w:numId w:val="1"/>
        </w:numPr>
        <w:spacing w:after="60"/>
      </w:pPr>
      <w:r>
        <w:t xml:space="preserve">Trusted-user diligence (harsh.beria93) corroborates the historical outperformance with specific, sourced data rather than a vague endorsement</w:t>
      </w:r>
    </w:p>
    <w:p>
      <w:pPr>
        <w:pStyle w:val="Heading1"/>
        <w:spacing w:after="120" w:before="280"/>
      </w:pPr>
      <w:r>
        <w:t xml:space="preserve">Bear Case / Key Risks</w:t>
      </w:r>
    </w:p>
    <w:p>
      <w:pPr>
        <w:pStyle w:val="ListParagraph"/>
        <w:numPr>
          <w:ilvl w:val="0"/>
          <w:numId w:val="1"/>
        </w:numPr>
        <w:spacing w:after="60"/>
      </w:pPr>
      <w:r>
        <w:t xml:space="preserve">Q1 FY27 revenue declined a sharp 19.2% YoY — a meaningful and recent reversal that the community thread (last substantively updated in 2024) has not yet processed or explained</w:t>
      </w:r>
    </w:p>
    <w:p>
      <w:pPr>
        <w:pStyle w:val="ListParagraph"/>
        <w:numPr>
          <w:ilvl w:val="0"/>
          <w:numId w:val="1"/>
        </w:numPr>
        <w:spacing w:after="60"/>
      </w:pPr>
      <w:r>
        <w:t xml:space="preserve">At Rs 32,962 Cr market cap, this is a large-cap; even sustained strong growth would not mathematically deliver a 10x-in-2-3-years or realistic 100x-in-10-years outcome</w:t>
      </w:r>
    </w:p>
    <w:p>
      <w:pPr>
        <w:pStyle w:val="ListParagraph"/>
        <w:numPr>
          <w:ilvl w:val="0"/>
          <w:numId w:val="1"/>
        </w:numPr>
        <w:spacing w:after="60"/>
      </w:pPr>
      <w:r>
        <w:t xml:space="preserve">Cigarette/tobacco sector carries structural regulatory and taxation overhang risk common to the category</w:t>
      </w:r>
    </w:p>
    <w:p>
      <w:pPr>
        <w:pStyle w:val="Heading1"/>
        <w:spacing w:after="120" w:before="280"/>
      </w:pPr>
      <w:r>
        <w:t xml:space="preserve">Market-Cap Tier (informational — not a gate in this project)</w:t>
      </w:r>
    </w:p>
    <w:p>
      <w:pPr>
        <w:spacing w:after="120"/>
      </w:pPr>
      <w:r>
        <w:rPr>
          <w:b/>
          <w:bCs/>
        </w:rPr>
        <w:t xml:space="preserve">large-cap</w:t>
      </w:r>
    </w:p>
    <w:p>
      <w:pPr>
        <w:pStyle w:val="Heading1"/>
        <w:spacing w:after="120" w:before="280"/>
      </w:pPr>
      <w:r>
        <w:t xml:space="preserve">Thesis Fit</w:t>
      </w:r>
    </w:p>
    <w:p>
      <w:pPr>
        <w:spacing w:after="120"/>
      </w:pPr>
      <w:r>
        <w:rPr>
          <w:b/>
          <w:bCs/>
          <w:sz w:val="24"/>
          <w:szCs w:val="24"/>
        </w:rPr>
        <w:t xml:space="preserve">neither</w:t>
      </w:r>
    </w:p>
    <w:p>
      <w:pPr>
        <w:pStyle w:val="Heading1"/>
        <w:spacing w:after="120" w:before="280"/>
      </w:pPr>
      <w:r>
        <w:t xml:space="preserve">Verdict</w:t>
      </w:r>
    </w:p>
    <w:p>
      <w:pPr>
        <w:spacing w:after="120"/>
      </w:pPr>
      <w:r>
        <w:rPr>
          <w:b/>
          <w:bCs/>
          <w:sz w:val="24"/>
          <w:szCs w:val="24"/>
        </w:rPr>
        <w:t xml:space="preserve">Well-run large-cap tobacco name with a genuine trusted-user growth thesis through 2024 — but a sharp, more recent revenue decline and its sheer size both argue against a multibagger case</w:t>
      </w:r>
    </w:p>
    <w:p>
      <w:pPr>
        <w:pStyle w:val="ListParagraph"/>
        <w:numPr>
          <w:ilvl w:val="0"/>
          <w:numId w:val="1"/>
        </w:numPr>
        <w:spacing w:after="60"/>
      </w:pPr>
      <w:r>
        <w:t xml:space="preserve">harsh.beria93's (trusted) detailed volume-growth comparison is a real, well-sourced conviction signal, but it is now roughly two years old and predates a sharp Q1 FY27 revenue decline (-19.2% YoY) that the ValuePickr thread has not yet caught up to or explained — this is exactly the kind of recent-quarter shift the methodology guidance warns against ignoring, except here it cuts against the bull case rather than for it.</w:t>
      </w:r>
    </w:p>
    <w:p>
      <w:pPr>
        <w:pStyle w:val="ListParagraph"/>
        <w:numPr>
          <w:ilvl w:val="0"/>
          <w:numId w:val="1"/>
        </w:numPr>
        <w:spacing w:after="60"/>
      </w:pPr>
      <w:r>
        <w:t xml:space="preserve">At Rs 32,962 Cr market cap, Godfrey Phillips is unambiguously too large for a 10x-in-2-3-years case, and even a 100x-in-10-years outcome is not credible for a mature, regulation-exposed cigarette business of this size.</w:t>
      </w:r>
    </w:p>
    <w:p>
      <w:pPr>
        <w:pStyle w:val="ListParagraph"/>
        <w:numPr>
          <w:ilvl w:val="0"/>
          <w:numId w:val="1"/>
        </w:numPr>
        <w:spacing w:after="60"/>
      </w:pPr>
      <w:r>
        <w:t xml:space="preserve">No solvency, promoter, or regulatory red flag was found — the revenue decline is a business-performance concern, not a red-flag-tier issue — so per the conviction floor for very-high trusted candidates, conviction is still set to Medium-High.</w:t>
      </w:r>
    </w:p>
    <w:p>
      <w:pPr>
        <w:pStyle w:val="ListParagraph"/>
        <w:numPr>
          <w:ilvl w:val="0"/>
          <w:numId w:val="1"/>
        </w:numPr>
        <w:spacing w:after="60"/>
      </w:pPr>
      <w:r>
        <w:t xml:space="preserve">Worth a lighter follow-up specifically to understand the Q1 FY27 revenue drop before treating the earlier trusted thesis as still current.</w:t>
      </w:r>
    </w:p>
    <w:p>
      <w:pPr>
        <w:pStyle w:val="ListParagraph"/>
        <w:numPr>
          <w:ilvl w:val="0"/>
          <w:numId w:val="1"/>
        </w:numPr>
        <w:spacing w:after="60"/>
      </w:pPr>
      <w:r>
        <w:t xml:space="preserve">Re-verification pass (2026-08-22): source (harsh.beria93) is elevated-tier, not top-tier — no automatic floor. Conviction corrected down from Medium-High to Low-Medium: the trusted peer-comparison notes are dated to Feb 2024, well before the sharp Q1 FY27 revenue decline and the stock's subsequent ~43% one-year fall — the underlying signal is stale relative to current conditions.</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2026-08-22T17:19:19.498Z</dcterms:created>
  <dcterms:modified xsi:type="dcterms:W3CDTF">2026-08-22T17:19:19.499Z</dcterms:modified>
</cp:coreProperties>
</file>

<file path=docProps/custom.xml><?xml version="1.0" encoding="utf-8"?>
<Properties xmlns="http://schemas.openxmlformats.org/officeDocument/2006/custom-properties" xmlns:vt="http://schemas.openxmlformats.org/officeDocument/2006/docPropsVTypes"/>
</file>