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Energy Ltd (formerly Gujarat Gas / GSPC group)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~Rs 24,000 Cr integrated gas utility after the May-2026 GSPC-group amalgamation -- decent returns but far too large and too regulated for a multi-bagger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Energy is the entity created by the May-2026 composite amalgamation of GSPC, Gujarat State Petronet (GSPL) and GSPC Energy: city gas distribution, gas trading, exploration &amp; production, renewables and strategic investments.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23,784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~18.5% / ~15.8%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Business mix</w:t>
            </w:r>
          </w:p>
        </w:tc>
        <w:tc>
          <w:tcPr>
            <w:tcW w:type="dxa" w:w="5800"/>
          </w:tcPr>
          <w:p>
            <w:r>
              <w:t xml:space="preserve">CGD + gas trading + E&amp;P + renewables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dxa" w:w="5800"/>
          </w:tcPr>
          <w:p>
            <w:r>
              <w:t xml:space="preserve">Post May-2026 GSPC-group amalgamation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respectable for a utility (ROCE ~18.5%) and volumes should improve, but this is a large, largely regulated city-gas and gas-transmission business. There is no catalyst capable of producing a multi-fold re-rating from a ~Rs 24,000 Cr base.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size.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Filtered at the preliminary stage: a ~Rs 24,000 Cr regulated gas utility cannot realistically deliver 10x in 2-3 years or 100x in 10 years, and the large-cap recent-inflection carve-out explicitly does not apply at this size.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energy franchise (CGD + transmission + E&amp;P + renewables) with dominant Gujarat presence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growth as industrial and CNG demand recovers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utility returns (ROCE ~18.5%)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24,000 Cr market cap -- a 10x/100x outcome is not realistic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Largely regulated tariffs cap the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Amalgamation integration and holding-company structure add complexity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sharp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23,784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 regulated gas utility, but far too large and too rate-capped for the thesis -- filtered out on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rules out a multi-bagger outcome; the large-cap recent-inflection carve-out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no catalyst -&gt; 'neither', conviction Low, no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2026-08-27T16:50:31.056Z</dcterms:created>
  <dcterms:modified xsi:type="dcterms:W3CDTF">2026-08-27T16:50:31.056Z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