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Hindustan Construction Company Ltd (HCC)</w:t>
      </w:r>
    </w:p>
    <w:p>
      <w:pPr>
        <w:pBdr>
          <w:bottom w:val="single" w:color="CCCCCC" w:sz="6" w:space="8"/>
        </w:pBdr>
        <w:spacing w:after="200"/>
      </w:pPr>
      <w:r>
        <w:rPr>
          <w:i/>
          <w:iCs/>
          <w:color w:val="666666"/>
          <w:sz w:val="22"/>
          <w:szCs w:val="22"/>
        </w:rPr>
        <w:t xml:space="preserve">A technically elite infra EPC builder (Mumbai coastal road, hydro/PSP, nuclear, metros) that has spent a decade in balance-sheet repair -- FY26 saw ~Rs 1,500 Cr of debt repaid and order wins resume, but leverage is still high (debt/PBILDT ~3.5-4x), the promoter stake is thin after repeated dilution, and cash flows still lean on arbitration-claim realisations</w:t>
      </w:r>
    </w:p>
    <w:p>
      <w:pPr>
        <w:pStyle w:val="Heading1"/>
        <w:spacing w:after="120" w:before="280"/>
      </w:pPr>
      <w:r>
        <w:t xml:space="preserve">Business Overview</w:t>
      </w:r>
    </w:p>
    <w:p>
      <w:pPr>
        <w:spacing w:after="120"/>
      </w:pPr>
      <w:r>
        <w:t xml:space="preserve">HCC (founded 1926, Walchand group) is an engineering &amp; construction major -- dams, tunnels, hydro and pumped-storage, nuclear plant civil works, metros, coastal roads, bridges. After the Lavasa township disaster (written off ~Rs 1,046 Cr, NCLT), it has spent years de-levering: carving debt into third-party SPVs (Prolific Resolution / PRPL), selling the Swiss Steiner development business, multiple rights issues and a QIP. Now essentially a ~100% India EPC business bidding hydro, PSP, transport and nuclear.</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5,500 Cr (small/mid-cap)</w:t>
            </w:r>
          </w:p>
        </w:tc>
      </w:tr>
      <w:tr>
        <w:tc>
          <w:tcPr>
            <w:tcW w:type="dxa" w:w="3200"/>
            <w:shd w:fill="F2F2F2" w:val="clear"/>
          </w:tcPr>
          <w:p>
            <w:r>
              <w:rPr>
                <w:b/>
                <w:bCs/>
              </w:rPr>
              <w:t xml:space="preserve">ROCE / ROE</w:t>
            </w:r>
          </w:p>
        </w:tc>
        <w:tc>
          <w:tcPr>
            <w:tcW w:type="dxa" w:w="5800"/>
          </w:tcPr>
          <w:p>
            <w:r>
              <w:t xml:space="preserve">ROCE headline ~29% (distorted by low equity base / claims); ROE ~12.7%</w:t>
            </w:r>
          </w:p>
        </w:tc>
      </w:tr>
      <w:tr>
        <w:tc>
          <w:tcPr>
            <w:tcW w:type="dxa" w:w="3200"/>
            <w:shd w:fill="F2F2F2" w:val="clear"/>
          </w:tcPr>
          <w:p>
            <w:r>
              <w:rPr>
                <w:b/>
                <w:bCs/>
              </w:rPr>
              <w:t xml:space="preserve">Revenue</w:t>
            </w:r>
          </w:p>
        </w:tc>
        <w:tc>
          <w:tcPr>
            <w:tcW w:type="dxa" w:w="5800"/>
          </w:tcPr>
          <w:p>
            <w:r>
              <w:t xml:space="preserve">TTM ~Rs 3,850 Cr; ~9% revenue CAGR; still only ~1-2% of L&amp;T's E&amp;C scale</w:t>
            </w:r>
          </w:p>
        </w:tc>
      </w:tr>
      <w:tr>
        <w:tc>
          <w:tcPr>
            <w:tcW w:type="dxa" w:w="3200"/>
            <w:shd w:fill="F2F2F2" w:val="clear"/>
          </w:tcPr>
          <w:p>
            <w:r>
              <w:rPr>
                <w:b/>
                <w:bCs/>
              </w:rPr>
              <w:t xml:space="preserve">Debt</w:t>
            </w:r>
          </w:p>
        </w:tc>
        <w:tc>
          <w:tcPr>
            <w:tcW w:type="dxa" w:w="5800"/>
          </w:tcPr>
          <w:p>
            <w:r>
              <w:t xml:space="preserve">D/E ~1.8x; total debt/PBILDT ~5.4x FY25 -&gt; guided ~3.5-4.0x FY26; ~Rs 1,537 Cr of obligations repaid in FY26</w:t>
            </w:r>
          </w:p>
        </w:tc>
      </w:tr>
      <w:tr>
        <w:tc>
          <w:tcPr>
            <w:tcW w:type="dxa" w:w="3200"/>
            <w:shd w:fill="F2F2F2" w:val="clear"/>
          </w:tcPr>
          <w:p>
            <w:r>
              <w:rPr>
                <w:b/>
                <w:bCs/>
              </w:rPr>
              <w:t xml:space="preserve">Order book</w:t>
            </w:r>
          </w:p>
        </w:tc>
        <w:tc>
          <w:tcPr>
            <w:tcW w:type="dxa" w:w="5800"/>
          </w:tcPr>
          <w:p>
            <w:r>
              <w:t xml:space="preserve">~Rs 10,000-10,500 Cr; recent wins: Indore Metro tunnelling (with Tata Projects), Bhivpuri 1,000 MW PSP, Mumbai-Ahmedabad bullet-train BKC station</w:t>
            </w:r>
          </w:p>
        </w:tc>
      </w:tr>
      <w:tr>
        <w:tc>
          <w:tcPr>
            <w:tcW w:type="dxa" w:w="3200"/>
            <w:shd w:fill="F2F2F2" w:val="clear"/>
          </w:tcPr>
          <w:p>
            <w:r>
              <w:rPr>
                <w:b/>
                <w:bCs/>
              </w:rPr>
              <w:t xml:space="preserve">52-week range</w:t>
            </w:r>
          </w:p>
        </w:tc>
        <w:tc>
          <w:tcPr>
            <w:tcW w:type="dxa" w:w="5800"/>
          </w:tcPr>
          <w:p>
            <w:r>
              <w:t xml:space="preserve">~Rs 13.7 - 28.5</w:t>
            </w:r>
          </w:p>
        </w:tc>
      </w:tr>
      <w:tr>
        <w:tc>
          <w:tcPr>
            <w:tcW w:type="dxa" w:w="3200"/>
            <w:shd w:fill="F2F2F2" w:val="clear"/>
          </w:tcPr>
          <w:p>
            <w:r>
              <w:rPr>
                <w:b/>
                <w:bCs/>
              </w:rPr>
              <w:t xml:space="preserve">Optionality</w:t>
            </w:r>
          </w:p>
        </w:tc>
        <w:tc>
          <w:tcPr>
            <w:tcW w:type="dxa" w:w="5800"/>
          </w:tcPr>
          <w:p>
            <w:r>
              <w:t xml:space="preserve">Nuclear civil-works opportunity (Elara: potential Rs 9,000 Cr FY25 inflows, Rs 1.5 lakh Cr multi-year TAM); pending arbitration claims via PRPL</w:t>
            </w:r>
          </w:p>
        </w:tc>
      </w:tr>
    </w:tbl>
    <w:p>
      <w:pPr>
        <w:spacing w:after="100"/>
      </w:pPr>
    </w:p>
    <w:p>
      <w:pPr>
        <w:spacing w:after="120"/>
      </w:pPr>
      <w:r>
        <w:t xml:space="preserve">The operational franchise is genuinely strong -- HCC executes the same category of complex hydro/tunnel/nuclear work as L&amp;T. The investment history is the problem: a decade of the 'turnaround is 1-2 years away' narrative, Lavasa write-offs, debt shuffled into SPVs rather than extinguished, and repeated equity dilution (rights issues at deep discounts, QIP) that has left promoter holding low and of uncertain composition. FY26 is the most tangible progress -- ~Rs 1,537 Cr repaid, order wins resuming after a near-dry FY24-25, leverage guided lower -- but debt is still elevated and a chunk of the cash-flow story depends on realising arbitration awards (NHAI etc.) through PRPL, which is slow and uncertain. A trusted user who has held for years describes 'burnt fingers' and no visible light at the end of the tunnel.</w:t>
      </w:r>
    </w:p>
    <w:p>
      <w:pPr>
        <w:pStyle w:val="Heading1"/>
        <w:spacing w:after="120" w:before="280"/>
      </w:pPr>
      <w:r>
        <w:t xml:space="preserve">Technical Read (Weekly / Monthly MACD + Bollinger Bands, or RSI/CCI/Williams %R proxy)</w:t>
      </w:r>
    </w:p>
    <w:p>
      <w:pPr>
        <w:spacing w:after="120"/>
      </w:pPr>
      <w:r>
        <w:t xml:space="preserve">Not pulled. Low absolute price (~Rs 20s), high beta, historically moves on infra-policy headlines and arbitration news rather than earnings.</w:t>
      </w:r>
    </w:p>
    <w:p>
      <w:pPr>
        <w:pStyle w:val="Heading1"/>
        <w:spacing w:after="120" w:before="280"/>
      </w:pPr>
      <w:r>
        <w:t xml:space="preserve">ValuePickr Community Signal</w:t>
      </w:r>
    </w:p>
    <w:p>
      <w:pPr>
        <w:spacing w:after="120"/>
      </w:pPr>
      <w:r>
        <w:t xml:space="preserve">Long thread (81 posts; recent read from #31). Tone over 2018-2026 is 'great builder, terrible capital allocation'. asarun (trusted) is the most-cited voice: entered at the wrong time, added despite reservations, calls the arbitration-claims and rule-changes 'never-ending', but acknowledges FY24 order wins and the cleaner post-Steiner entity. hardik_shah1 (trusted) logs the JV order wins with Tata Projects (Indore Metro, Bhivpuri PSP) as a positive after a long drought. karanshah137 (trusted) notes Elara's bullish nuclear-opportunity initiation. Multiple posters focus on the nuclear angle. The most recent post (#81, 30-Aug-2026, ValuePickr-generated) is a structured question to management about why HCC can't scale toward the L&amp;T gap faster -- i.e. the thread itself frames scaling as the open question. No unambiguous trusted buy conviction.</w:t>
      </w:r>
    </w:p>
    <w:p>
      <w:pPr>
        <w:spacing w:after="120"/>
      </w:pPr>
      <w:r>
        <w:rPr>
          <w:b/>
          <w:bCs/>
          <w:sz w:val="20"/>
          <w:szCs w:val="20"/>
        </w:rPr>
        <w:t xml:space="preserve">High-conviction call from a top contributor: </w:t>
      </w:r>
      <w:r>
        <w:rPr>
          <w:sz w:val="20"/>
          <w:szCs w:val="20"/>
        </w:rPr>
        <w:t xml:space="preserve">Trusted users acknowledge a real operational franchise and note FY26 progress (debt repaid, orders resuming) but none express a firm buy conviction; the most experienced holder is scarred and skeptical. Net: neutral-to-cautious. No conviction floor.</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2025-03-20 — hardik_shah1</w:t>
      </w:r>
      <w:r>
        <w:rPr>
          <w:i/>
          <w:iCs/>
          <w:color w:val="666666"/>
          <w:sz w:val="18"/>
          <w:szCs w:val="18"/>
        </w:rPr>
        <w:t xml:space="preserve"> (HCC - Infra giant with massive turnaround story!)</w:t>
      </w:r>
      <w:r>
        <w:rPr>
          <w:sz w:val="20"/>
          <w:szCs w:val="20"/>
        </w:rPr>
        <w:br/>
        <w:t xml:space="preserve">: Mildly positive -- two JV order wins in three days with Tata Projects (Indore Metro tunnelling, Bhivpuri PSP), 'order wins after a long long time'; holds small quantity in family account</w:t>
      </w:r>
    </w:p>
    <w:p>
      <w:pPr>
        <w:spacing w:after="100"/>
      </w:pPr>
      <w:r>
        <w:rPr>
          <w:b/>
          <w:bCs/>
          <w:sz w:val="20"/>
          <w:szCs w:val="20"/>
        </w:rPr>
        <w:t xml:space="preserve">2024-12-21 — asarun</w:t>
      </w:r>
      <w:r>
        <w:rPr>
          <w:i/>
          <w:iCs/>
          <w:color w:val="666666"/>
          <w:sz w:val="18"/>
          <w:szCs w:val="18"/>
        </w:rPr>
        <w:t xml:space="preserve"> (HCC - Infra giant with massive turnaround story!)</w:t>
      </w:r>
      <w:r>
        <w:rPr>
          <w:sz w:val="20"/>
          <w:szCs w:val="20"/>
        </w:rPr>
        <w:br/>
        <w:t xml:space="preserve">: Cautious -- post-Steiner it is a cleaner ~100% India EPC business, but promoter stake is 'really low now' and QIP subscriber composition is unclear; claims realisation still the swing factor</w:t>
      </w:r>
    </w:p>
    <w:p>
      <w:pPr>
        <w:pStyle w:val="Heading1"/>
        <w:spacing w:after="120" w:before="280"/>
      </w:pPr>
      <w:r>
        <w:t xml:space="preserve">BSE Corporate Actions / Other Red Flags</w:t>
      </w:r>
    </w:p>
    <w:p>
      <w:pPr>
        <w:spacing w:after="120"/>
      </w:pPr>
      <w:r>
        <w:t xml:space="preserve">History of Lavasa write-off and NCLT, multiple deeply-discounted rights issues and a QIP, debt carved into third-party SPVs (PRPL). Promoter holding thin after repeated dilution. No current active SEBI action noted. High-leverage turnaround -- treat balance-sheet risk as elevated.</w:t>
      </w:r>
    </w:p>
    <w:p>
      <w:pPr>
        <w:pStyle w:val="Heading1"/>
        <w:spacing w:after="120" w:before="280"/>
      </w:pPr>
      <w:r>
        <w:t xml:space="preserve">Bull Case</w:t>
      </w:r>
    </w:p>
    <w:p>
      <w:pPr>
        <w:pStyle w:val="ListParagraph"/>
        <w:numPr>
          <w:ilvl w:val="0"/>
          <w:numId w:val="1"/>
        </w:numPr>
        <w:spacing w:after="60"/>
      </w:pPr>
      <w:r>
        <w:t xml:space="preserve">Technically elite EPC franchise -- executes hydro/PSP/tunnel/nuclear work in the same class as L&amp;T</w:t>
      </w:r>
    </w:p>
    <w:p>
      <w:pPr>
        <w:pStyle w:val="ListParagraph"/>
        <w:numPr>
          <w:ilvl w:val="0"/>
          <w:numId w:val="1"/>
        </w:numPr>
        <w:spacing w:after="60"/>
      </w:pPr>
      <w:r>
        <w:t xml:space="preserve">FY26 tangible de-levering: ~Rs 1,537 Cr repaid; leverage guided down to ~3.5-4x from ~5.4x</w:t>
      </w:r>
    </w:p>
    <w:p>
      <w:pPr>
        <w:pStyle w:val="ListParagraph"/>
        <w:numPr>
          <w:ilvl w:val="0"/>
          <w:numId w:val="1"/>
        </w:numPr>
        <w:spacing w:after="60"/>
      </w:pPr>
      <w:r>
        <w:t xml:space="preserve">Order wins resuming after a near-dry FY24-25 (Indore Metro, Bhivpuri PSP, bullet-train BKC), book ~Rs 10,000 Cr</w:t>
      </w:r>
    </w:p>
    <w:p>
      <w:pPr>
        <w:pStyle w:val="ListParagraph"/>
        <w:numPr>
          <w:ilvl w:val="0"/>
          <w:numId w:val="1"/>
        </w:numPr>
        <w:spacing w:after="60"/>
      </w:pPr>
      <w:r>
        <w:t xml:space="preserve">Large multi-year nuclear civil-works optionality (Elara initiation; Rs 1.5 lakh Cr TAM)</w:t>
      </w:r>
    </w:p>
    <w:p>
      <w:pPr>
        <w:pStyle w:val="ListParagraph"/>
        <w:numPr>
          <w:ilvl w:val="0"/>
          <w:numId w:val="1"/>
        </w:numPr>
        <w:spacing w:after="60"/>
      </w:pPr>
      <w:r>
        <w:t xml:space="preserve">Pending arbitration awards via PRPL are a potential non-operating cash source</w:t>
      </w:r>
    </w:p>
    <w:p>
      <w:pPr>
        <w:pStyle w:val="Heading1"/>
        <w:spacing w:after="120" w:before="280"/>
      </w:pPr>
      <w:r>
        <w:t xml:space="preserve">Bear Case / Key Risks</w:t>
      </w:r>
    </w:p>
    <w:p>
      <w:pPr>
        <w:pStyle w:val="ListParagraph"/>
        <w:numPr>
          <w:ilvl w:val="0"/>
          <w:numId w:val="1"/>
        </w:numPr>
        <w:spacing w:after="60"/>
      </w:pPr>
      <w:r>
        <w:t xml:space="preserve">Decade-long 'turnaround imminent' narrative; still only ~1-2% of L&amp;T scale</w:t>
      </w:r>
    </w:p>
    <w:p>
      <w:pPr>
        <w:pStyle w:val="ListParagraph"/>
        <w:numPr>
          <w:ilvl w:val="0"/>
          <w:numId w:val="1"/>
        </w:numPr>
        <w:spacing w:after="60"/>
      </w:pPr>
      <w:r>
        <w:t xml:space="preserve">Leverage still high; debt largely restructured/relocated into SPVs, not extinguished</w:t>
      </w:r>
    </w:p>
    <w:p>
      <w:pPr>
        <w:pStyle w:val="ListParagraph"/>
        <w:numPr>
          <w:ilvl w:val="0"/>
          <w:numId w:val="1"/>
        </w:numPr>
        <w:spacing w:after="60"/>
      </w:pPr>
      <w:r>
        <w:t xml:space="preserve">Repeated deeply-discounted equity dilution; promoter holding low and of uncertain composition</w:t>
      </w:r>
    </w:p>
    <w:p>
      <w:pPr>
        <w:pStyle w:val="ListParagraph"/>
        <w:numPr>
          <w:ilvl w:val="0"/>
          <w:numId w:val="1"/>
        </w:numPr>
        <w:spacing w:after="60"/>
      </w:pPr>
      <w:r>
        <w:t xml:space="preserve">Cash-flow story leans on slow, uncertain arbitration-claim realisation</w:t>
      </w:r>
    </w:p>
    <w:p>
      <w:pPr>
        <w:pStyle w:val="ListParagraph"/>
        <w:numPr>
          <w:ilvl w:val="0"/>
          <w:numId w:val="1"/>
        </w:numPr>
        <w:spacing w:after="60"/>
      </w:pPr>
      <w:r>
        <w:t xml:space="preserve">Longest-tenured trusted holder describes 'burnt fingers' and no clear light at the end</w:t>
      </w:r>
    </w:p>
    <w:p>
      <w:pPr>
        <w:pStyle w:val="Heading1"/>
        <w:spacing w:after="120" w:before="280"/>
      </w:pPr>
      <w:r>
        <w:t xml:space="preserve">Market-Cap Tier (informational — not a gate in this project)</w:t>
      </w:r>
    </w:p>
    <w:p>
      <w:pPr>
        <w:spacing w:after="120"/>
      </w:pPr>
      <w:r>
        <w:rPr>
          <w:b/>
          <w:bCs/>
        </w:rPr>
        <w:t xml:space="preserve">Small/mid-cap (~Rs 5,500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A world-class builder still carrying a decade of balance-sheet and dilution baggage -- FY26 progress is real but this is a leveraged cyclical turnaround, not a compounding multi-bagger; thesis_fit 'neither', conviction Low</w:t>
      </w:r>
    </w:p>
    <w:p>
      <w:pPr>
        <w:pStyle w:val="ListParagraph"/>
        <w:numPr>
          <w:ilvl w:val="0"/>
          <w:numId w:val="1"/>
        </w:numPr>
        <w:spacing w:after="60"/>
      </w:pPr>
      <w:r>
        <w:t xml:space="preserve">The operational franchise is genuine, but the equity story is impaired by structurally high leverage, a history of value-destructive dilution and cash flows dependent on arbitration realisations -- so even with FY26's real de-levering, a 10x/100x outcome is not the base case. Thesis_fit 'neither'.</w:t>
      </w:r>
    </w:p>
    <w:p>
      <w:pPr>
        <w:pStyle w:val="ListParagraph"/>
        <w:numPr>
          <w:ilvl w:val="0"/>
          <w:numId w:val="1"/>
        </w:numPr>
        <w:spacing w:after="60"/>
      </w:pPr>
      <w:r>
        <w:t xml:space="preserve">Red-flag check: no AVOID (net worth is positive) / no EXCLUDE (no active SEBI action) / not formally HIGH CAUTION, but balance-sheet risk is elevated and flagged in the write-up.</w:t>
      </w:r>
    </w:p>
    <w:p>
      <w:pPr>
        <w:pStyle w:val="ListParagraph"/>
        <w:numPr>
          <w:ilvl w:val="0"/>
          <w:numId w:val="1"/>
        </w:numPr>
        <w:spacing w:after="60"/>
      </w:pPr>
      <w:r>
        <w:t xml:space="preserve">theme match: no live-theme keyword hit in discovery (recency discovery); newest addition to the registry this run (first seen 2026-08-30, thread active same day).</w:t>
      </w:r>
    </w:p>
    <w:p>
      <w:pPr>
        <w:pStyle w:val="ListParagraph"/>
        <w:numPr>
          <w:ilvl w:val="0"/>
          <w:numId w:val="1"/>
        </w:numPr>
        <w:spacing w:after="60"/>
      </w:pPr>
      <w:r>
        <w:t xml:space="preserve">Re-check only if leverage (debt/PBILDT) actually falls below ~3x on reported numbers AND order inflows sustain above ~Rs 5,000 Cr/yr for a couple of quarters -- that would make it a credible cyclical trade, though still not a quality-compounder fit.</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2026-08-30T17:57:33.169Z</dcterms:created>
  <dcterms:modified xsi:type="dcterms:W3CDTF">2026-08-30T17:57:33.170Z</dcterms:modified>
</cp:coreProperties>
</file>

<file path=docProps/custom.xml><?xml version="1.0" encoding="utf-8"?>
<Properties xmlns="http://schemas.openxmlformats.org/officeDocument/2006/custom-properties" xmlns:vt="http://schemas.openxmlformats.org/officeDocument/2006/docPropsVTypes"/>
</file>