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Hi-Tech Pipes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North-India-led ERW steel pipes / hollow sections / structural steel and coated-products maker (Hi-Tech brand) - crossed 1 million TPA capacity in Q1 FY27, targeting 2 million by FY29, Q1 FY27 volume +26% and revenue +79% - but ROCE ~10% / ROE ~6%, PAT roughly flat, in a commoditised APL-Apollo-shadow product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Hi-Tech Pipes (incorporated 1985) makes ERW steel pipes, tubes, hollow sections, cold-rolled coils/strips, road crash barriers, solar mounting structures and galvanised / colour-coated products, sold pan-India through a large distributor network, with plants at Sikandrabad, Sanand and Hindupur (and expansions at Sanand/Hindupur plus a DFT line and an API-pipes line). Sovrenn Discovery seed (2026-09-02, 'Excellent Results Jun-26'). ValuePickr thread 11109 read (31 posts, checkpoint 31).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1,760 Cr; ROCE ~9.8%, ROE ~5.9%; P/E &lt;25x; market-cap/sales ~0.6x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Sales volume 1,56,136 MT (+26% YoY, record); revenue ~Rs 1,413 Cr (+79% YoY); PAT ~Rs 20 Cr (roughly 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Crossed 1 million TPA with Sikandrabad Unit-III commercial start; roadmap to 2 million TPA by FY29 (Sanand + Hindupur; DFT line Q3 FY27; API-pipes line Q4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FY27 volume 6.5-7 lakh MT; FY28 ~1 million MT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Next 1M-TPA leg ~Rs 650 Cr (~Rs 200 Cr in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EBITDA/tonne ~Rs 3,400 (Q2 FY25 ~Rs 3,429); blended realisation swings hard with HRC prices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5800"/>
          </w:tcPr>
          <w:p>
            <w:r>
              <w:t xml:space="preserve">Bandhan MF built a &gt;6% stake around Rs 90 in H1 FY26 (per thread)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volume story is real - record 1.56 lakh MT in Q1 FY27, 1 million TPA capacity crossed, 2 million targeted by FY29 - and the stock is optically cheap (mcap/sales ~0.6x, PE &lt;25x). But the returns are the problem: ROCE ~10%, ROE ~6%, and PAT was roughly flat despite revenue up 79%, so there is no operating leverage showing yet. This is a commoditised ERW-pipe / structural-steel business where realisation is a pass-through of the HRC steel price, EBITDA/tonne (~Rs 3,400) is well below the value-added benchmark (APL Apollo does multiples of this), and the growth is being funded by a Rs 650 Cr capex leg into a working-capital-heavy, interest-heavy balance sheet. The forum history (going back to 2017) repeatedly flags weak cash generation and thin, RM-driven margins.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steel pipes / structural steel (infrastructure + construction demand)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volume converter - buys HRC, makes ERW pipes / hollow sections / coated products; competes on distribution reach and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- no supply bottleneck held; value-added SKUs (large-diameter, API, colour-coated) are the only pricing lever and are contested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APL Apollo Tubes, JTL Industries, Rama Steel Tubes, Hariom Pipes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ERW-pipe node is a low-return, capital-cycle-exposed converter layer; APL Apollo has shown value-added mix can lift EBITDA/tonne, but Hi-Tech is not there and is adding capacity into a competitive market.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Range-bound; safeguard duty on steel imports (12%, three years) is a potential HRC-price / inventory-gain tailwind noted on the thread.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11109 (31 posts, spanning 2017-2026): early bull case (foray into south/west, value-added mix, EBITDA target) repeatedly tempered by observations of weak 5-year cash flow, poor RM-driven margins, interest burden and 'anyone with cash can build the same plant'. Recent posts (Kapur21, sarthak_saraf) note record volumes, rising value-added share, the move to 1M TPA and Bandhan MF's stake around Rs 90, framing it as a possible turnaround - but no one on the thread argues the returns profile has structurally changed.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Mild constructive interest on the volume ramp and value-added mix, offset by a decade of skepticism about margins, cash flow and the commoditised nature of the product.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NSE-Emerge origin, since migrated to the main board. Bandhan MF disclosed a &gt;6% stake (per thread). Ongoing multi-plant capacity expansion funded by debt + internal accrual.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Q1 FY27 volume (1.56 lakh MT, +26%); crossed 1M TPA, targeting 2M by FY29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Optically cheap: mcap/sales ~0.6x, P/E &lt;25x; Bandhan MF built a &gt;6% position around Rs 90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value-added / coated-products mix and new DFT + API-pipe lines could lift EBITDA/tonne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12% three-year safeguard duty on steel imports supports domestic HRC prices and possible inventory gains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~10%, ROE ~6% - fails the quality gate; PAT roughly flat despite revenue +79% (no operating leverage yet)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ERW pipe / structural steel - realisation is an HRC-price pass-through; EBITDA/tonne (~Rs 3,400) far below the value-added benchmark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650 Cr capex leg into a working-capital-heavy, interest-heavy balance sheet; decade-long history of weak cash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competition from APL Apollo, JTL, Rama Steel, Hariom Pipes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'excellent results' trigger is a volume/revenue print, not a margin or returns inflection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1,760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volume ramp (1M TPA crossed, 2M by FY29) and an optically cheap valuation, but ROCE ~10% / ROE ~6% with PAT flat despite revenue +79% - a commoditised, capex- and working-capital-heavy business with no operating leverage yet. thesis_fit neither,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Discovery seed; the trigger (record Q1 FY27 volume 1.56 lakh MT, revenue Rs 1,413 Cr +79%) is confirmed but is a top-line/volume event - PAT was roughly flat, so it does not represent an earnings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trailing-vs-inflection case: the weak returns are structural (commoditised product, HRC pass-through pricing, EBITDA/tonne well below the value-added benchmark), not a one-off - so the speed-breaker exemption does not apply and thesis_fit is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ROCE ~10% / ROE ~6% fails the quality gate; the capex plan adds leverage and execution risk without visible operating leverage; competition (APL Apollo, JTL) is entrenched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clean live-theme match - domestic ERW pipes/structural steel is not on the active list (the forgings/castings-exporter theme is about US-export cap-goods); value_chain block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checkpoint last_post_number_analyzed = 31; revisit_after_30d false (thesis_fit neither, conviction Low)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2026-09-03T14:38:39.408Z</dcterms:created>
  <dcterms:modified xsi:type="dcterms:W3CDTF">2026-09-03T14:38:39.409Z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