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 Rectifiers Ltd (HIRECT)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pre-eminent railway traction-transformer maker migrating up to full propulsion systems, with FY26 standalone revenue +45% and a FY31 $1bn vision - but P/E ~65 and a loss-making France acquisition dragging consolidated numbers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 Rectifiers (est. 1958, originally with Westinghouse Brake &amp; Signal UK) is India's leading domestic manufacturer of traction transformers and railway power electronics. It is transitioning from a component/sub-system supplier to a full-stack traction propulsion and power-management platform - it has started receiving Indian Railways orders for complete propulsion systems (Rs 60 Cr for 4 MEMU train sets, a Rs 60 Cr Vande Metro development order). Management guides ~30% standalone revenue growth for FY27 and beyond and has articulated a FY31 'vision' of ~$1 billion revenue. A France acquisition (CTC production) has been added and is scaling but is currently loss-making.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4,425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standalone</w:t>
            </w:r>
          </w:p>
        </w:tc>
        <w:tc>
          <w:tcPr>
            <w:tcW w:type="dxa" w:w="5800"/>
          </w:tcPr>
          <w:p>
            <w:r>
              <w:t xml:space="preserve">Revenue ~Rs 949 Cr (+44.8% YoY), EBITDA ~Rs 103 Cr (10.8% margin, +45.5%), PAT ~Rs 58 Cr (+54.7%), ROCE ~24.2%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consolidated</w:t>
            </w:r>
          </w:p>
        </w:tc>
        <w:tc>
          <w:tcPr>
            <w:tcW w:type="dxa" w:w="5800"/>
          </w:tcPr>
          <w:p>
            <w:r>
              <w:t xml:space="preserve">Revenue ~Rs 999 Cr (France acquisition dilutive to margin/PAT)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~65, EV/EBITDA ~46 (as of Jun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Operating cash flow +154.8% to ~Rs 91 Cr (FY26 standalone); debtor days up ~70 -&gt; ~87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565 - 1,399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Standalone FY26 was a strong year: revenue +45%, PAT +55%, ROCE ~24%, and operating cash flow up 2.5x. The value-migration into full propulsion systems is a genuine step-up in addressable content per train set. Against that: the stock is expensive (P/E ~65, EV/EBITDA ~46), consolidated numbers are materially below standalone because the France (CTC) acquisition is still loss-making, debtor days are rising, and Q1 FY27 consolidated PAT looked halved YoY (though positive QoQ versus a prior-quarter loss).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ran from a ~Rs 565 52-week low to a ~Rs 1,399 high; a WebSearch-referenced 2021 episode showed the same name is capable of ~35% moves in a few days - a volatile, momentum-prone counter.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(8 posts of 10), Jun to Aug 2026 - a young thread. Midhunjoe's opener (9 loves) is the core bull case: pre-eminent domestic traction-transformer maker undergoing a structural transformation to a propulsion/power-management platform, strong FY26 standalone print, 30% guided growth, FY31 $1bn vision. His July 2026 follow-up flags the first propulsion-system orders from Indian Railways (Rs 60 Cr MEMU + Rs 60 Cr Vande Metro development orders) as a major value migration - once approved as a full-service propulsion vendor the run-rate should step up materially. RocketMan (4 loves) adds useful engineering context on why variable-voltage-variable-frequency traction converters are essential and hard to displace. Two counter-notes: vnktshb points out the bull is quoting standalone, not the weaker consolidated numbers; Md_Uzair (Q1 FY27) calls the quarter 'decent', noting YoY comparisons are distorted by the France acquisition and CTC production is scaling (topline doubled QoQ).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roster/trusted users (Satishwe, an elevated-tier user, posted only blank thread-approval posts). Midhunjoe is the clear thesis owner and is invested; the tone of the thread is constructive but with an explicit caveat from another member to watch consolidated rather than standalone results.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France acquisition (CTC / traction-related) consolidated from FY26 - currently loss-making, drags consolidated PAT. First full-propulsion-system orders from Indian Railways (Rs 60 Cr for 4 MEMU sets; Rs 60 Cr Vande Metro development order), July 2026 - characterised as ~20% development orders pending full-service-vendor approval. Rising debtor days (~70 -&gt; ~87).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pre-eminent domestic railway traction-transformer maker with a genuine, hard-to-replicate power-electronics competency (fixed 25 kV OHE -&gt; variable V/f drive is a real engineering moat)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value migration from components to full traction propulsion systems - materially higher content per train set, with the first Indian Railways propulsion orders already in hand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standalone: revenue +45%, PAT +55%, ROCE ~24%, operating cash flow +154% - real, broad-based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~30% standalone revenue growth for FY27+ and a FY31 ~$1bn revenue vision, riding a multi-year Indian Railways modernisation/electrification capex 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Expensive: P/E ~65, EV/EBITDA ~46 - a lot of the propulsion-migration optionality is already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numbers are well below standalone because the France (CTC) acquisition is loss-making; Q1 FY27 consolidated PAT looked roughly halved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customer concentration on Indian Railways / government tendering - order timing and pricing are outside the company's control; propulsion orders are still partly 'development' pending full-vendor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(~70 -&gt; ~87); working-capital intensity typical of railway EPC-style supply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Small/mid-cap, momentum-prone stock with a wide 52-week range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4,425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 plus a credible propulsion-system value-migration catalyst put this in the 10x frame, but only at MEDIUM conviction given a ~65x multiple and a loss-making France unit muddying consolidated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specific recent-quarter inflection (FY26 standalone revenue +45%, PAT +55%, ROCE ~24%) plus a concrete catalyst (first full-propulsion-system orders from Indian Railways, full-vendor approval pending) and a small/mid-cap base justify a 10x-in-2-3-years tag over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the valuation (P/E ~65) already embeds a lot of the story, the consolidated-vs-standalone gap from the loss-making France acquisition is a real quality caveat, and Indian-Railways customer concentration makes the growth path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Re-check trigger: full-service propulsion-vendor approval, France (CTC) unit turning EBITDA-positive, and consolidated growth catching up to standalone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2026-08-29T08:22:52.231Z</dcterms:created>
  <dcterms:modified xsi:type="dcterms:W3CDTF">2026-08-29T08:22:52.232Z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