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Home First Finance Company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 affordable-housing financier — 25.7% AUM growth, 4.2% ROA, stable asset quality, PE promoters gradually exiting into strength — but a well-covered Rs 12,400 Cr mid-cap in a crowded space, not an under-the-radar multibagger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Affordable-housing NBFC-HFC lending to first-time home buyers in the informal/self-employed segment, largely tier-2/3 markets, using a tech-driven underwriting/collections model. Competes with Aavas Financiers, Aptus Value Housing, Aadhar Housing and traditional HFCs/banks.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12,391 Cr (mid-cap)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AUM</w:t>
            </w:r>
          </w:p>
        </w:tc>
        <w:tc>
          <w:tcPr>
            <w:tcW w:type="dxa" w:w="5800"/>
          </w:tcPr>
          <w:p>
            <w:r>
              <w:t xml:space="preserve">Rs 16,938 Cr, +25.7% YoY (Q1 FY27); disbursements +31%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ROA / ROE</w:t>
            </w:r>
          </w:p>
        </w:tc>
        <w:tc>
          <w:tcPr>
            <w:tcW w:type="dxa" w:w="5800"/>
          </w:tcPr>
          <w:p>
            <w:r>
              <w:t xml:space="preserve">~4.2% / ~14.5% (Q1 FY27)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NIM</w:t>
            </w:r>
          </w:p>
        </w:tc>
        <w:tc>
          <w:tcPr>
            <w:tcW w:type="dxa" w:w="5800"/>
          </w:tcPr>
          <w:p>
            <w:r>
              <w:t xml:space="preserve">~6.0%; long-term spread target 5.0-5.25%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Asset quality</w:t>
            </w:r>
          </w:p>
        </w:tc>
        <w:tc>
          <w:tcPr>
            <w:tcW w:type="dxa" w:w="5800"/>
          </w:tcPr>
          <w:p>
            <w:r>
              <w:t xml:space="preserve">1+ DPD 4.7%, 30+ DPD 3.2%, Gross Stage 3 1.8% — 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</w:t>
            </w:r>
          </w:p>
        </w:tc>
        <w:tc>
          <w:tcPr>
            <w:tcW w:type="dxa" w:w="5800"/>
          </w:tcPr>
          <w:p>
            <w:r>
              <w:t xml:space="preserve">Rs 160 Cr, +34.5% YoY (Q1 FY27)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P/B compressed to ~2.84x (per a Mar-2026 community post) vs. a stated peer median ~4.1x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genuinely well-run affordable-housing lender: consistent 25%+ AUM growth, improving ROA, and stable delinquencies through a period when some HFC/NBFC peers have seen pockets of stress. Nothing here contradicts the quality story. The question is not quality but scale and crowd — at Rs 12,400 Cr market cap in a segment with several well-covered listed comparables, this reads as a steady compounder rather than an overlooked opportunity.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VP thread (topic 63826, 44-47 posts, last active May 2026) shows sustained, unremarkable-in-a-good-way engagement: a mid-2024 update noting AUM crossing Rs 10,000 Cr with 34.8% YoY growth and management guiding 30%+ growth to continue; a Nov 2024 post flagging a promoter (True North/Aether) + Orange Capital block-deal sale of 14.7% at a modest discount to CMP, explicitly framed by the poster as reducing overhang risk, not distress; a Jan 2025 QIP (Rs 1,250 Cr) to fund growth; and a Mar 2026 post noting further True North/Aether stake reduction with current P/B (2.84x) called out as significantly below the peer median (4.1x). No red-flag-type posts (fraud, auditor resignation, promoter pledge) found anywhere in the thread history.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Consistently constructive; the recurring theme is gradual, orderly private-equity promoter exit (True North, Aether — original VC/PE backers from the pre-IPO cap table) rather than any operational concern, alongside a live 'cheap vs. peers on P/B' argument as of early 2026.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order; no going-concern issue. Promoter-group stake reduction (True North, Aether) is a planned PE-investor exit, not a distress signal — flagged by the community as reducing overhang, not creating risk. No red_flag_tier.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Sustained 25%+ AUM growth with improving ROA (4.2%) and stable asset quality through Q1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P/B (~2.84x) below the community's cited peer median (~4.1x) as of the most recent thread update — a real relative-value argument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PE-promoter (True North/Aether) stake reduction is orderly/gradual, removing a future overhang rather than signalling distress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12,400 Cr mid-cap in a well-covered, competitive affordable-HFC space (Aavas, Aptus, Aadhar Housing) — no evident under-the-radar 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(25-30% AUM) is genuinely good but not exceptional enough on its own to justify a 10x-in-2-3-years re-rating case at this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unique moat beyond execution quality — underwriting/collections tech is replicable and several peers run similar playbooks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12,391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(structural affordable-housing/first-time-buyer credit penetration in tier-2/3 India, a genuine multi-year theme). tam weak (Rs 12,400 Cr mid-cap already; a 10x would require becoming one of India's largest HFCs, a stretch given competitive intensity). moat weak (good execution, no structural pricing power/switching cost). valuation weak (cheap vs. peers per the community, but not cheap in absolute terms at ~2.84x P/B for a 14.5% ROE lender). Score 2.5 -&gt; 'neither' per the decision table (relative-value argument alone isn't the written 'valuation: yes' exception, since it's a relative not absolute cheapness case).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(tier 4.5, @StocksAndStoics). No live-theme match in active_themes.json (affordable housing finance is not a listed theme). four_box score 2.5, no written exception taken (the peer-relative cheapness argument doesn't rise to a clean 'valuation: yes'), so thesis_fit stays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Medium: this is a genuinely high-quality, well-run lender with clean community sentiment and no governance flags — the size and crowded-space math, not business quality, is what caps the thesis at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red_flag_tier, no revisit flag. A legitimate 'buy the quality compounder' name outside the scope of this open-mcap-multibagger screen's mandate.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2026-09-04T13:37:14.523Z</dcterms:created>
  <dcterms:modified xsi:type="dcterms:W3CDTF">2026-09-04T13:37:14.525Z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