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IZMO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Automotive digital-imaging/CRM software firm with an asymmetric silicon-photonics / semiconductor-packaging optionality (national mission partner) — but a serious promoter-integrity overhang (past SEBI misleading-disclosure finding; promoter's bail revoked in a duty-evasion case) and unaudited US books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Core: automotive retail software — world's largest automotive image/animation library, OEM-certified CRM/ILM, plus FrogData (US auto-dealer analytics). New: izmo Microsystems — silicon-photonics chip packaging; named a Photonics Chip Packaging Partner in the CoE-CPPICS (IIT Madras) and a packaging partner in India's National Silicon Photonics Mission.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1,280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Current price / 52-wk</w:t>
            </w:r>
          </w:p>
        </w:tc>
        <w:tc>
          <w:tcPr>
            <w:tcW w:type="dxa" w:w="5800"/>
          </w:tcPr>
          <w:p>
            <w:r>
              <w:t xml:space="preserve">~Rs 855 / Rs 562–Rs 1,380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~12.6% / ~12.4%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FY25 ~+20% YoY; company projects ~25–30% for the current 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~24x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~Rs 273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core auto-software business is modest-quality (low-teens ROCE/ROE, ~20% growth) and has repeatedly lagged its own guidance. The bull case is entirely the photonics/semiconductor-packaging optionality: a small market cap against a very large potential TAM, a chokepoint position with no domestic competitors, and a tailwind from a proposed US ban on Chinese optical transceivers. But the technology is lab/early stage — well-funded US players have not commercialised it — and the promoter track record is the dominant risk (see below).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Community notes &gt;50% drawdown from the top and repeated lower circuits in 2025.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~32 of ~85 posts (topic 18631), 2024–Aug 2026. Bulls (Agastya, Nabendu – 29 loves) frame it as a VC-like asymmetric bet on photonics. A sustained, well-supported bear thread runs alongside: SEBI found IZMO's claims about a defence subsidiary (Hughes Precision Manufacturing) misleading in 2017-18 (Debojit_Kangsa_Banik); promoter Sanjay Soni had bail revoked by the Bombay High Court in an ammunition import-duty-evasion case (rajpanda, Dec-2025); US books of accounts not audited (Phaeton); management loose on guidance and 'shifts goalposts' (anna).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rajpanda (elevated trusted user) posted the bail-revocation news (16-Dec-2025) — a risk flag, not a conviction call. No trusted-roster bull call. No formal high-conviction call logged.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checked. Governance history is the key issue: a prior SEBI finding of misleading disclosure (2017-18) and a criminal duty-evasion matter against the promoter with bail revoked (2025). Promoter holding is rising (~35% toward a stated ~40%), so this is not a 'promoter-holding-collapse' red flag, but promoter integrity is a live concern.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Silicon-photonics packaging: partner in India's National Silicon Photonics Mission / CoE-CPPICS; potential chokepoint position with no domestic competitor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Asymmetric payoff — small mcap vs a large TAM if the packaging platform commercialises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Geopolitical tailwind: proposed US ban on Chinese optical transceivers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auto-software throws off cash; ~24x P/E is not demanding on the base business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integrity: prior SEBI misleading-disclosure finding + criminal duty-evasion case with bail revoked (2025)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 subsidiary accounts not audited; overseas-revenue legitimacy questioned by the community for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Photonics is lab/early stage — far better-funded global players have not commercialised it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Core business has under-delivered vs guidance; management 'shifts goalposts'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1,280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 asymmetric photonics optionality, but the promoter-integrity overhang forces Low conviction — treat as speculative, not a core idea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silicon-photonics / semiconductor-packaging angle is a real, timely, large-TAM optionality on a small cap → thesis-fit 10x-in-2-3-years on an asymmetric-payoff basis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Low: a past SEBI misleading-disclosure finding, an active criminal matter against the promoter (bail revoked), and unaudited US books are severe governance flags; the technology is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tagged a formal red-flag tier (no negative net worth, no promoter-holding collapse, no current SEBI action) but the governance caveats dominate — size any position accordingly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2026-08-30T06:24:40.255Z</dcterms:created>
  <dcterms:modified xsi:type="dcterms:W3CDTF">2026-08-30T06:24:40.255Z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