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Indian Energy Exchange Ltd (IEX)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Dominant power-trading exchange facing a structural regulatory threat: market coupling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IEX operates India's largest electricity trading exchange (Day-Ahead and Real-Time markets), earning transaction fees on power traded. It has near-monopoly market share today but faces a regulatory push toward 'market coupling', which would pool order books across exchanges and could erode IEX's structural moat.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10,959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Rs 624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</w:t>
            </w:r>
          </w:p>
        </w:tc>
        <w:tc>
          <w:tcPr>
            <w:tcW w:type="dxa" w:w="5800"/>
          </w:tcPr>
          <w:p>
            <w:r>
              <w:t xml:space="preserve">Rs 487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(3-yr)</w:t>
            </w:r>
          </w:p>
        </w:tc>
        <w:tc>
          <w:tcPr>
            <w:tcW w:type="dxa" w:w="5800"/>
          </w:tcPr>
          <w:p>
            <w:r>
              <w:t xml:space="preserve">39.8%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15.81% (forecast to decline going forward)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payout</w:t>
            </w:r>
          </w:p>
        </w:tc>
        <w:tc>
          <w:tcPr>
            <w:tcW w:type="dxa" w:w="5800"/>
          </w:tcPr>
          <w:p>
            <w:r>
              <w:t xml:space="preserve">65.2%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P/B</w:t>
            </w:r>
          </w:p>
        </w:tc>
        <w:tc>
          <w:tcPr>
            <w:tcW w:type="dxa" w:w="5800"/>
          </w:tcPr>
          <w:p>
            <w:r>
              <w:t xml:space="preserve">8.39x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Exceptional historical profitability (ROE ~40%, debt-free, high payout) reflects IEX's near-monopoly economics. The concern is forward-looking: analyst revenue forecasts show a slight decline, and the community discussion centers on market-coupling regulation as a structural risk to that moat.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 — fundamentals search did not surface explicit 52-week high/low; price-trend read deferred given the regulatory-risk framing dominates the thesis debate.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Very active, long-running thread (773 replies, most active of this batch — last activity today). Current discussion is technical/regulatory: how market coupling would actually roll out and whether it meaningfully threatens IEX's volumes.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harshc (2026-08 post, 4 loves) laid out that even when coupling starts with DAM, IEX's ~36% at-risk volume (split DAM/RTM) won't fall immediately — settlement/clearance still stays exchange-specific, so switching has real friction (dual margins, dual APIs). A reasoned bull-leaning risk analysis, not yet a 2-post-verified high-conviction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 Market coupling is a SEBI/CERC-driven regulatory process, not a company-specific SEBI action against IEX — does not meet the EXCLUDE bar, but is a live regulatory overhang worth monitoring via BSE/exchange filings.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Best-in-class profitability (ROE ~40%, debt-free) and dominant market share today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Coupling rollout has real operational friction that may slow share erosion (per harshc's analysis)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dividend payout signals capital discipline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coupling is a genuine structural threat to the core moat — this is the dominant topic on the thread right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is forecast to decline, the opposite of what a 10x/100x thesis needs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trades at a rich 8.39x P/B, pricing in continued dominance that regulation may undermine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11,000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— regulatory overhang makes the growth case for a 10x/100x return too uncertain right now, despite excellent historical metrics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 franchise under genuine regulatory threat — watch, don't buy on this thesis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Historical returns (ROE ~40%, debt-free) are exceptional but backward-looking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coupling is a live, community-debated structural risk to the core moat with forecast revenue decline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 once the coupling regulation's actual shape and timeline are clearer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2026-08-21T16:20:50.820Z</dcterms:created>
  <dcterms:modified xsi:type="dcterms:W3CDTF">2026-08-21T16:20:50.821Z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