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Indo Tech Transformers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 transformer maker riding grid-modernization/renewable tailwinds, but dogged by a fishy CEO exit and no concalls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Indo Tech Transformers manufactures power and distribution transformers, benefiting from India's grid-modernization capex cycle and renewable-energy integration; parent group company Shirdi Sai Electricals (via TRIL) operates in the same space with a larger, faster-growing book.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4,028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37.7% / 28.4%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FY25 exponential (Rev Rs 559 Cr vs Rs 369 Cr QoQ in Q3FY25); Q4FY26 +21.75% QoQ / +15.98%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Virtually debt-free (net cash)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1,100 - 3,556 (also cited Rs 2,420 high/low band mid-2026)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Excellent, sustained return profile (ROCE ~38%, ROE ~28%) with a debt-free balance sheet, and revenue/PAT growth has been exponential through FY25 on the back of large transformer order wins, though growth has since moderated to a still-healthy mid-to-high-teens YoY pace.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charted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90 fetched posts (2024-09 to 2025-11), single batch (first-time read). Sentiment was strongly bullish through late 2024/early 2025 on blockbuster Q3FY25 results and multiple large transformer order wins (LOI/LOA worth ~Rs 150 Cr combined), driven by structural transmission-sector tailwinds (grid modernization, renewable integration). Sentiment turned more cautious from Apr 2025 after an abrupt CEO resignation that a trusted poster called 'fishy' given no transition period, compounded by a long-standing community complaint about management's total absence from concalls leaving investors to infer performance from filings alone. By late 2025 an AGM readout was reassuring (demand visibility 7-8 years, renewable segment growing 20%+ CAGR) and a pledge release was noted positively.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Mohit_baid (trusted, elevated, invested) was by far the most engaged tracker — surfacing DII entry, quarterly results breakdowns, the CEO resignation timeline (rebutting a claim it was mishandled by showing an Feb-2025 filing already flagged the departure date), and a pledge release in Nov 2025. vnktshb (trusted, elevated) tracked parent-company TRIL's stronger results as a read-through on sector demand. Prabhat_Mohanty (trusted, elevated, invested) was the source of the 'fishy CEO exit' concern and said he was reconsidering adding further. richbandit (trusted, elevated) gave the most recent (Oct/Nov 2025) AGM and Q1FY26 updates, both positive on margin expansion from a fixed:variable price contract mix shift.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2025-11-13 — richbandit</w:t>
      </w:r>
      <w:r>
        <w:rPr>
          <w:i/>
          <w:iCs/>
          <w:color w:val="666666"/>
          <w:sz w:val="18"/>
          <w:szCs w:val="18"/>
        </w:rPr>
        <w:t xml:space="preserve"> (Indotech)</w:t>
      </w:r>
      <w:r>
        <w:rPr>
          <w:sz w:val="20"/>
          <w:szCs w:val="20"/>
        </w:rPr>
        <w:br/>
        <w:t xml:space="preserve">: Q1FY26 results strong post AGM guidance; fixed:variable price contract mix shift for FY26 expanding margins as guided.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2025-04-10 — Prabhat_Mohanty</w:t>
      </w:r>
      <w:r>
        <w:rPr>
          <w:i/>
          <w:iCs/>
          <w:color w:val="666666"/>
          <w:sz w:val="18"/>
          <w:szCs w:val="18"/>
        </w:rPr>
        <w:t xml:space="preserve"> (Indotech)</w:t>
      </w:r>
      <w:r>
        <w:rPr>
          <w:sz w:val="20"/>
          <w:szCs w:val="20"/>
        </w:rPr>
        <w:br/>
        <w:t xml:space="preserve">: Flagged the CEO's same-day resignation-and-release as unusual/'fishy', reconsidering adding to position.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Excellent, debt-free return profile (ROCE ~38%, ROE ~28%) with a structural sector tailwind: global/domestic grid-modernization capex and renewable-energy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large transformer order wins (LOI/LOA) and an executable order book well ahead of trailing revenue as of early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AGM (Oct 2025) guided 7-8 years of sustained demand and 20%+ CAGR growth in the renewable segment specifically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Abrupt, unexplained CEO resignation in Apr 2025 flagged by a trusted, invested community member as unusual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Persistent community frustration that management holds no concalls, leaving investors reliant on filings and informal outreach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has decelerated from FY25's exponential pace to a more moderate mid-to-high-teens YoY rate in early FY26, and a sister/parent entity (TRIL) has periodically outperformed on comparable metrics, raising capital-allocation/opportunity-cost questions within the group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4,028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excellent, debt-free transformer business riding a structural sector tailwind, tempered by a governance-communication gap (no concalls, one unexplained CEO exit)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are unambiguously strong (ROCE/ROE ~38%/28%, debt-free) and the transmission/renewable-integration tailwind is structural, not a one-quarter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~Rs 4,000 Cr market cap needs a sharper, more durable catalyst to sustain a 10x thesis over 2-3 years, and the CEO-exit/no-concalls pattern is a real, unresolved governance-communication gap flagged by multiple trusted, invested community members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Medium conviction: genuine business quality and sector tailwind, offset by real governance friction that has not been addressed by management directly to the community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2026-08-26T18:11:42.722Z</dcterms:created>
  <dcterms:modified xsi:type="dcterms:W3CDTF">2026-08-26T18:11:42.729Z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