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JITF Infra Logistics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O.P. Jindal-group urban-infra / wagons / waste-to-energy holdco carrying a distressed capital structure — negative net worth history, contingent liabilities several times market cap</w:t>
      </w:r>
    </w:p>
    <w:p>
      <w:pPr>
        <w:shd w:fill="FFF0F0" w:val="clear"/>
        <w:spacing w:after="200"/>
      </w:pPr>
      <w:r>
        <w:rPr>
          <w:b/>
          <w:bCs/>
          <w:color w:val="A32020"/>
          <w:sz w:val="22"/>
          <w:szCs w:val="22"/>
        </w:rPr>
        <w:t xml:space="preserve">RED FLAG TIER: AVOID — </w:t>
      </w:r>
      <w:r>
        <w:rPr>
          <w:sz w:val="20"/>
          <w:szCs w:val="20"/>
        </w:rPr>
        <w:t xml:space="preserve">Negative consolidated net worth on the most recent available data (~ -Rs 513 Cr, 2026-08-15), contingent liabilities ~Rs 3,305 Cr (multiple times market cap), low interest coverage, prior going-concern notes on subsidiaries, and consolidated losses despite revenue growth.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JITF Infra Logistics Ltd (O.P. Jindal group) develops urban and water infrastructure, manages municipal solid waste and waste-to-energy, and manufactures railway freight wagons, largely through subsidiaries.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975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worth</w:t>
            </w:r>
          </w:p>
        </w:tc>
        <w:tc>
          <w:tcPr>
            <w:tcW w:type="dxa" w:w="5800"/>
          </w:tcPr>
          <w:p>
            <w:r>
              <w:t xml:space="preserve">Old screen (2026-08-15): negative consolidated net worth ~ -Rs 513 Cr; no evidence of repair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Contingent liabilities</w:t>
            </w:r>
          </w:p>
        </w:tc>
        <w:tc>
          <w:tcPr>
            <w:tcW w:type="dxa" w:w="5800"/>
          </w:tcPr>
          <w:p>
            <w:r>
              <w:t xml:space="preserve">~Rs 3,305 Cr — several times market cap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servicing</w:t>
            </w:r>
          </w:p>
        </w:tc>
        <w:tc>
          <w:tcPr>
            <w:tcW w:type="dxa" w:w="5800"/>
          </w:tcPr>
          <w:p>
            <w:r>
              <w:t xml:space="preserve">Low interest coverage ratio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Profitability</w:t>
            </w:r>
          </w:p>
        </w:tc>
        <w:tc>
          <w:tcPr>
            <w:tcW w:type="dxa" w:w="5800"/>
          </w:tcPr>
          <w:p>
            <w:r>
              <w:t xml:space="preserve">Historically consolidated-loss-making despite revenue growth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old 108-stock screen flagged AVOID on negative consolidated net worth (~ -Rs 513 Cr), auditor 'going concern' notes on two subsidiaries, non-current debt over 3x market cap and consolidated losses despite revenue growth. This pass could not confirm any balance-sheet repair; contingent liabilities remain very large (~Rs 3,305 Cr) and interest coverage is low. A distressed capital structure makes size-based headroom irrelevant until it is fixed.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not relevant given the balance-sheet situation.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found in a category-11/14/17 search (Step 3.05). topic_slug set to null; web-only write-up. Filtered at the preliminary stage on red-flag grounds — no deep 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— no dedicated VP thread, no trusted-roster coverage.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Old research cited auditor 'going concern' language on two subsidiaries. Not re-verified this pass, but no disclosure of resolution was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Backed by the O.P. Jindal group; exposure to urban infra, wagons and waste-to-energy themes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has been growing at the topline level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consolidated net worth on the most recent screen data, with no confirmed repair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Contingent liabilities ~Rs 3,305 Cr — several times the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interest coverage; historically consolidated-loss-making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 auditor 'going concern' warnings on subsidiaries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does not offset a distressed capital structure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975 Cr) — capital-structure distress makes size headroom irrelevant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AVOID — distressed capital structure (negative net worth history, contingent liabilities several times market cap, weak interest coverage)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of a legacy-108-screen seed; the old 2026-08-15 AVOID call is carried forward — this pass found no evidence the negative net worth or leverage has been repaired, and contingent liabilities remain very large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tier applies regardless of any topline growth; filtered out before any deep dive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Would need a demonstrably repaired balance sheet before it could re-enter consideration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2026-08-29T04:03:11.755Z</dcterms:created>
  <dcterms:modified xsi:type="dcterms:W3CDTF">2026-08-29T04:03:11.756Z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