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Jyoti CNC Automation Ltd</w:t>
      </w:r>
    </w:p>
    <w:p>
      <w:pPr>
        <w:pBdr>
          <w:bottom w:val="single" w:color="CCCCCC" w:sz="6" w:space="8"/>
        </w:pBdr>
        <w:spacing w:after="200"/>
      </w:pPr>
      <w:r>
        <w:rPr>
          <w:i/>
          <w:iCs/>
          <w:color w:val="666666"/>
          <w:sz w:val="22"/>
          <w:szCs w:val="22"/>
        </w:rPr>
        <w:t xml:space="preserve">Strong machine-tool growth story undercut by an active French anti-terrorism/export-control fraud probe at its key technology subsidiary, Huron Graffenstaden</w:t>
      </w:r>
    </w:p>
    <w:p>
      <w:pPr>
        <w:shd w:fill="FFF0F0" w:val="clear"/>
        <w:spacing w:after="200"/>
      </w:pPr>
      <w:r>
        <w:rPr>
          <w:b/>
          <w:bCs/>
          <w:color w:val="B8860B"/>
          <w:sz w:val="22"/>
          <w:szCs w:val="22"/>
        </w:rPr>
        <w:t xml:space="preserve">RED FLAG TIER: HIGH CAUTION — </w:t>
      </w:r>
      <w:r>
        <w:rPr>
          <w:sz w:val="20"/>
          <w:szCs w:val="20"/>
        </w:rPr>
        <w:t xml:space="preserve">Huron Graffenstaden SAS (Jyoti CNC's French subsidiary and sole source of 5-axis machine technology) is under active investigation by the French National Anti-Terrorism Prosecutor for allegedly orchestrating, from 2022, fraudulent exports of dual-use (civilian/military) CNC machine tools to Russia routed through India, in violation of EU export-control laws and post-2022 Russia embargoes. Some export licences have already been cancelled with a disclosed revenue impact; Huron's CEO has been replaced and a new compliance program announced. Not a confirmed SEBI/domestic-fraud finding against the parent, hence HIGH CAUTION rather than EXCLUDE, but material and unresolved as of the most recent forum post (2026-06-20).</w:t>
      </w:r>
    </w:p>
    <w:p>
      <w:pPr>
        <w:pStyle w:val="Heading1"/>
        <w:spacing w:after="120" w:before="280"/>
      </w:pPr>
      <w:r>
        <w:t xml:space="preserve">Business Overview</w:t>
      </w:r>
    </w:p>
    <w:p>
      <w:pPr>
        <w:spacing w:after="120"/>
      </w:pPr>
      <w:r>
        <w:t xml:space="preserve">One of India's largest CNC machine tool manufacturers (turning centres, VMC/HMC, 5-axis machining centres), vertically integrated with in-house spindles/tool-changers, and a defense/aerospace supplier (HAL, MBDA order cited). Owns Huron Graffenstaden SAS (France), its source of 5-axis machine technology, alongside Rajkot manufacturing capacity being expanded from 6,000 to 16,000 machines/year.</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22,334 Cr</w:t>
            </w:r>
          </w:p>
        </w:tc>
      </w:tr>
      <w:tr>
        <w:tc>
          <w:tcPr>
            <w:tcW w:type="dxa" w:w="3200"/>
            <w:shd w:fill="F2F2F2" w:val="clear"/>
          </w:tcPr>
          <w:p>
            <w:r>
              <w:rPr>
                <w:b/>
                <w:bCs/>
              </w:rPr>
              <w:t xml:space="preserve">ROCE / ROE</w:t>
            </w:r>
          </w:p>
        </w:tc>
        <w:tc>
          <w:tcPr>
            <w:tcW w:type="dxa" w:w="5800"/>
          </w:tcPr>
          <w:p>
            <w:r>
              <w:t xml:space="preserve">21.3% / 18.2%</w:t>
            </w:r>
          </w:p>
        </w:tc>
      </w:tr>
      <w:tr>
        <w:tc>
          <w:tcPr>
            <w:tcW w:type="dxa" w:w="3200"/>
            <w:shd w:fill="F2F2F2" w:val="clear"/>
          </w:tcPr>
          <w:p>
            <w:r>
              <w:rPr>
                <w:b/>
                <w:bCs/>
              </w:rPr>
              <w:t xml:space="preserve">Revenue growth</w:t>
            </w:r>
          </w:p>
        </w:tc>
        <w:tc>
          <w:tcPr>
            <w:tcW w:type="dxa" w:w="5800"/>
          </w:tcPr>
          <w:p>
            <w:r>
              <w:t xml:space="preserve">FY27 guided 25-30%; 5-yr profit CAGR 44.7%</w:t>
            </w:r>
          </w:p>
        </w:tc>
      </w:tr>
      <w:tr>
        <w:tc>
          <w:tcPr>
            <w:tcW w:type="dxa" w:w="3200"/>
            <w:shd w:fill="F2F2F2" w:val="clear"/>
          </w:tcPr>
          <w:p>
            <w:r>
              <w:rPr>
                <w:b/>
                <w:bCs/>
              </w:rPr>
              <w:t xml:space="preserve">52-week range</w:t>
            </w:r>
          </w:p>
        </w:tc>
        <w:tc>
          <w:tcPr>
            <w:tcW w:type="dxa" w:w="5800"/>
          </w:tcPr>
          <w:p>
            <w:r>
              <w:t xml:space="preserve">Rs 750.2 - 1,331</w:t>
            </w:r>
          </w:p>
        </w:tc>
      </w:tr>
    </w:tbl>
    <w:p>
      <w:pPr>
        <w:spacing w:after="100"/>
      </w:pPr>
    </w:p>
    <w:p>
      <w:pPr>
        <w:spacing w:after="120"/>
      </w:pPr>
      <w:r>
        <w:t xml:space="preserve">Fundamentally strong on paper — good ROCE/ROE, near-zero net debt historically, and real capacity/order-book growth (order backlog ~Rs4,732 Cr, 18-20% margin per a Jun-2026 concall). But the specific catalyst most cited by the external tip ('Huron doubling', 'export licence unlock') is directly contradicted by the forum's most recent posts: Huron's capacity did double, but its export licences have actually been partially CANCELLED (not unlocked) following a serious compliance scandal, and a portion of standalone-business impact was disclosed after a ~15% single-day stock correction in Apr-2026.</w:t>
      </w:r>
    </w:p>
    <w:p>
      <w:pPr>
        <w:pStyle w:val="Heading1"/>
        <w:spacing w:after="120" w:before="280"/>
      </w:pPr>
      <w:r>
        <w:t xml:space="preserve">Technical Read (Weekly / Monthly MACD + Bollinger Bands, or RSI/CCI/Williams %R proxy)</w:t>
      </w:r>
    </w:p>
    <w:p>
      <w:pPr>
        <w:spacing w:after="120"/>
      </w:pPr>
      <w:r>
        <w:t xml:space="preserve">Not escalated to charts — the compliance finding below is the dominant, fundamentals-level consideration this pass, not a technical one.</w:t>
      </w:r>
    </w:p>
    <w:p>
      <w:pPr>
        <w:pStyle w:val="Heading1"/>
        <w:spacing w:after="120" w:before="280"/>
      </w:pPr>
      <w:r>
        <w:t xml:space="preserve">ValuePickr Community Signal</w:t>
      </w:r>
    </w:p>
    <w:p>
      <w:pPr>
        <w:spacing w:after="120"/>
      </w:pPr>
      <w:r>
        <w:t xml:space="preserve">First-time deep-dive read of the full available thread (32 of 38 posts, Apr 2024-Jun 2026). Sentiment was uniformly bullish through 2025 (trusted user Arka posting detailed, positive management-guidance notes on capacity/orderbook/margins), but turned sharply cautious from Apr-2026 onward once the Huron/PNAT matter surfaced -- multiple posters (scr, atishay_jain1, kbpanara, Shwetha) began scrutinising the company's dependence on Huron for 5-axis technology and questioning why fraud-adjacent manufacturing was routed through a French entity rather than done in India.</w:t>
      </w:r>
    </w:p>
    <w:p>
      <w:pPr>
        <w:spacing w:after="120"/>
      </w:pPr>
      <w:r>
        <w:rPr>
          <w:b/>
          <w:bCs/>
          <w:sz w:val="20"/>
          <w:szCs w:val="20"/>
        </w:rPr>
        <w:t xml:space="preserve">High-conviction call from a top contributor: </w:t>
      </w:r>
      <w:r>
        <w:rPr>
          <w:sz w:val="20"/>
          <w:szCs w:val="20"/>
        </w:rPr>
        <w:t xml:space="preserve">Trusted users Arka (bullish guidance notes through early 2025), Tushar_Gupta1 (flagged a weak Q1 FY26 print), Amnesiac and kdjolly (raised the Macpower comparison and the subsidiary legal proceedings) all engaged. None of them have issued an outright sell call yet, but the tenor shifted from unqualified bullishness to active risk-scrutiny after Apr-2026.</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2026-03-03 — kdjolly</w:t>
      </w:r>
      <w:r>
        <w:rPr>
          <w:i/>
          <w:iCs/>
          <w:color w:val="666666"/>
          <w:sz w:val="18"/>
          <w:szCs w:val="18"/>
        </w:rPr>
        <w:t xml:space="preserve"> (Jyoti CNC Automation Ltd)</w:t>
      </w:r>
      <w:r>
        <w:rPr>
          <w:sz w:val="20"/>
          <w:szCs w:val="20"/>
        </w:rPr>
        <w:br/>
        <w:t xml:space="preserve">: Comparative note vs Macpower CNC flagging management-philosophy/growth-style differences; two days later (Apr-2026) surfaces the Huron subsidiary legal-proceedings BSE filing</w:t>
      </w:r>
    </w:p>
    <w:p>
      <w:pPr>
        <w:spacing w:after="100"/>
      </w:pPr>
      <w:r>
        <w:rPr>
          <w:b/>
          <w:bCs/>
          <w:sz w:val="20"/>
          <w:szCs w:val="20"/>
        </w:rPr>
        <w:t xml:space="preserve">2025-08-06 — Tushar_Gupta1</w:t>
      </w:r>
      <w:r>
        <w:rPr>
          <w:i/>
          <w:iCs/>
          <w:color w:val="666666"/>
          <w:sz w:val="18"/>
          <w:szCs w:val="18"/>
        </w:rPr>
        <w:t xml:space="preserve"> (Jyoti CNC Automation Ltd)</w:t>
      </w:r>
      <w:r>
        <w:rPr>
          <w:sz w:val="20"/>
          <w:szCs w:val="20"/>
        </w:rPr>
        <w:br/>
        <w:t xml:space="preserve">: Flags a weak Q1 FY26 print -- margin falls YoY and QoQ, revenue growth slows -- alongside management's plan to expand overseas (US/China) sales &amp; service entities</w:t>
      </w:r>
    </w:p>
    <w:p>
      <w:pPr>
        <w:spacing w:after="100"/>
      </w:pPr>
      <w:r>
        <w:rPr>
          <w:b/>
          <w:bCs/>
          <w:sz w:val="20"/>
          <w:szCs w:val="20"/>
        </w:rPr>
        <w:t xml:space="preserve">2025-01-05 — Arka</w:t>
      </w:r>
      <w:r>
        <w:rPr>
          <w:i/>
          <w:iCs/>
          <w:color w:val="666666"/>
          <w:sz w:val="18"/>
          <w:szCs w:val="18"/>
        </w:rPr>
        <w:t xml:space="preserve"> (Jyoti CNC Automation Ltd)</w:t>
      </w:r>
      <w:r>
        <w:rPr>
          <w:sz w:val="20"/>
          <w:szCs w:val="20"/>
        </w:rPr>
        <w:br/>
        <w:t xml:space="preserve">: Detailed bullish management-guidance notes: 40-50% FY25 growth, Rs1,600cr+ order inflows, capacity 4,400-&gt;6,000 machines, zero net debt</w:t>
      </w:r>
    </w:p>
    <w:p>
      <w:pPr>
        <w:pStyle w:val="Heading1"/>
        <w:spacing w:after="120" w:before="280"/>
      </w:pPr>
      <w:r>
        <w:t xml:space="preserve">BSE Corporate Actions / Other Red Flags</w:t>
      </w:r>
    </w:p>
    <w:p>
      <w:pPr>
        <w:spacing w:after="120"/>
      </w:pPr>
      <w:r>
        <w:t xml:space="preserve">A subsidiary legal-proceedings BSE filing (Apr-2026) was cited on-thread (kdjolly) in connection with the Huron matter; management stated ~85% of the standalone business is unaffected, but the market reacted with a ~15% single-day correction regardless.</w:t>
      </w:r>
    </w:p>
    <w:p>
      <w:pPr>
        <w:pStyle w:val="Heading1"/>
        <w:spacing w:after="120" w:before="280"/>
      </w:pPr>
      <w:r>
        <w:t xml:space="preserve">Bull Case</w:t>
      </w:r>
    </w:p>
    <w:p>
      <w:pPr>
        <w:pStyle w:val="ListParagraph"/>
        <w:numPr>
          <w:ilvl w:val="0"/>
          <w:numId w:val="1"/>
        </w:numPr>
        <w:spacing w:after="60"/>
      </w:pPr>
      <w:r>
        <w:t xml:space="preserve">Capacity expansion from 6,000 to 16,000 machines/year (Rajkot) underway, alongside a Rs4,732 Cr order backlog carrying 18-20% margins (Jun-2026 concall)</w:t>
      </w:r>
    </w:p>
    <w:p>
      <w:pPr>
        <w:pStyle w:val="ListParagraph"/>
        <w:numPr>
          <w:ilvl w:val="0"/>
          <w:numId w:val="1"/>
        </w:numPr>
        <w:spacing w:after="60"/>
      </w:pPr>
      <w:r>
        <w:t xml:space="preserve">Genuine defense/aerospace exposure (HAL, MBDA order cited) and EMS ramp-up, both real structural growth drivers independent of the Huron issue</w:t>
      </w:r>
    </w:p>
    <w:p>
      <w:pPr>
        <w:pStyle w:val="ListParagraph"/>
        <w:numPr>
          <w:ilvl w:val="0"/>
          <w:numId w:val="1"/>
        </w:numPr>
        <w:spacing w:after="60"/>
      </w:pPr>
      <w:r>
        <w:t xml:space="preserve">Strong headline returns (ROCE 21.3%, ROE 18.2%) and historically low leverage</w:t>
      </w:r>
    </w:p>
    <w:p>
      <w:pPr>
        <w:pStyle w:val="ListParagraph"/>
        <w:numPr>
          <w:ilvl w:val="0"/>
          <w:numId w:val="1"/>
        </w:numPr>
        <w:spacing w:after="60"/>
      </w:pPr>
      <w:r>
        <w:t xml:space="preserve">Management has stated ~85% of the standalone business is unaffected by the Huron matter</w:t>
      </w:r>
    </w:p>
    <w:p>
      <w:pPr>
        <w:pStyle w:val="Heading1"/>
        <w:spacing w:after="120" w:before="280"/>
      </w:pPr>
      <w:r>
        <w:t xml:space="preserve">Bear Case / Key Risks</w:t>
      </w:r>
    </w:p>
    <w:p>
      <w:pPr>
        <w:pStyle w:val="ListParagraph"/>
        <w:numPr>
          <w:ilvl w:val="0"/>
          <w:numId w:val="1"/>
        </w:numPr>
        <w:spacing w:after="60"/>
      </w:pPr>
      <w:r>
        <w:t xml:space="preserve">Huron Graffenstaden SAS (the company's sole source of 5-axis machine technology) is under active investigation by the French National Anti-Terrorism Prosecutor (PNAT) for allegedly routing fraudulent, embargo-violating dual-use machine-tool exports to Russia via India from 2022 onward, per a detailed, well-sourced forum post (Venkat_Rakesh, Apr-2026)</w:t>
      </w:r>
    </w:p>
    <w:p>
      <w:pPr>
        <w:pStyle w:val="ListParagraph"/>
        <w:numPr>
          <w:ilvl w:val="0"/>
          <w:numId w:val="1"/>
        </w:numPr>
        <w:spacing w:after="60"/>
      </w:pPr>
      <w:r>
        <w:t xml:space="preserve">Some of Huron's export licences have already been cancelled, causing a disclosed revenue loss -- directly contradicting the external tip's framing of an 'export licence unlock' catalyst</w:t>
      </w:r>
    </w:p>
    <w:p>
      <w:pPr>
        <w:pStyle w:val="ListParagraph"/>
        <w:numPr>
          <w:ilvl w:val="0"/>
          <w:numId w:val="1"/>
        </w:numPr>
        <w:spacing w:after="60"/>
      </w:pPr>
      <w:r>
        <w:t xml:space="preserve">Huron's CEO has since been changed and a new compliance program announced, itself read by a forum poster (scr) as tacit confirmation that prior practices were inadequate</w:t>
      </w:r>
    </w:p>
    <w:p>
      <w:pPr>
        <w:pStyle w:val="ListParagraph"/>
        <w:numPr>
          <w:ilvl w:val="0"/>
          <w:numId w:val="1"/>
        </w:numPr>
        <w:spacing w:after="60"/>
      </w:pPr>
      <w:r>
        <w:t xml:space="preserve">Huron was a loss-making, negative-net-worth entity from acquisition (2007) through FY22, absorbed via loan write-offs; a trusted-adjacent poster (Shwetha) flagged that Jyoti's revenue growth has diverged from a declining global machine-tool cycle (DMG Mori, Okuma, Japanese/European MT production all down in 2024) in a way that isn't fully explained</w:t>
      </w:r>
    </w:p>
    <w:p>
      <w:pPr>
        <w:pStyle w:val="ListParagraph"/>
        <w:numPr>
          <w:ilvl w:val="0"/>
          <w:numId w:val="1"/>
        </w:numPr>
        <w:spacing w:after="60"/>
      </w:pPr>
      <w:r>
        <w:t xml:space="preserve">Reliance on Huron for 5-axis technology means further licence cancellations or a worse PNAT finding could directly impair the flagship capacity-expansion catalyst</w:t>
      </w:r>
    </w:p>
    <w:p>
      <w:pPr>
        <w:pStyle w:val="Heading1"/>
        <w:spacing w:after="120" w:before="280"/>
      </w:pPr>
      <w:r>
        <w:t xml:space="preserve">Market-Cap Tier (informational — not a gate in this project)</w:t>
      </w:r>
    </w:p>
    <w:p>
      <w:pPr>
        <w:spacing w:after="120"/>
      </w:pPr>
      <w:r>
        <w:rPr>
          <w:b/>
          <w:bCs/>
        </w:rPr>
        <w:t xml:space="preserve">Large-cap (~Rs 22,300 Cr)</w:t>
      </w:r>
    </w:p>
    <w:p>
      <w:pPr>
        <w:pStyle w:val="Heading1"/>
        <w:spacing w:after="120" w:before="280"/>
      </w:pPr>
      <w:r>
        <w:t xml:space="preserve">Thesis Fit</w:t>
      </w:r>
    </w:p>
    <w:p>
      <w:pPr>
        <w:spacing w:after="120"/>
      </w:pPr>
      <w:r>
        <w:rPr>
          <w:b/>
          <w:bCs/>
          <w:sz w:val="24"/>
          <w:szCs w:val="24"/>
        </w:rPr>
        <w:t xml:space="preserve">neither</w:t>
      </w:r>
    </w:p>
    <w:p>
      <w:pPr>
        <w:spacing w:after="120"/>
      </w:pPr>
      <w:r>
        <w:rPr>
          <w:color w:val="666666"/>
          <w:sz w:val="20"/>
          <w:szCs w:val="20"/>
        </w:rPr>
        <w:t xml:space="preserve">4-box gate — tailwind: yes · TAM: yes · moat: weak · valuation: weak  (score 3 / 4)</w:t>
      </w:r>
    </w:p>
    <w:p>
      <w:pPr>
        <w:spacing w:after="120"/>
      </w:pPr>
      <w:r>
        <w:rPr>
          <w:i/>
          <w:iCs/>
          <w:color w:val="666666"/>
          <w:sz w:val="20"/>
          <w:szCs w:val="20"/>
        </w:rPr>
        <w:t xml:space="preserve">Real structural tailwinds (defense/aerospace capex, machine-tool import substitution, EMS ramp) and a large addressable market; moat is weak because the flagship 5-axis technology moat runs through a subsidiary now under a serious compliance cloud; valuation weak given the stock is already large-cap and was trading near its 52-week high before the Apr-2026 correction. Score is overridden by the HIGH CAUTION red flag per the decision rules -- thesis_fit kept at neither rather than a return-magnitude label.</w:t>
      </w:r>
    </w:p>
    <w:p>
      <w:pPr>
        <w:pStyle w:val="Heading1"/>
        <w:spacing w:after="120" w:before="280"/>
      </w:pPr>
      <w:r>
        <w:t xml:space="preserve">Verdict</w:t>
      </w:r>
    </w:p>
    <w:p>
      <w:pPr>
        <w:spacing w:after="120"/>
      </w:pPr>
      <w:r>
        <w:rPr>
          <w:b/>
          <w:bCs/>
          <w:sz w:val="24"/>
          <w:szCs w:val="24"/>
        </w:rPr>
        <w:t xml:space="preserve">The external tip's central catalyst is factually backwards -- Huron's export licences are being cancelled, not unlocked, amid an active French anti-terrorism/sanctions-evasion probe</w:t>
      </w:r>
    </w:p>
    <w:p>
      <w:pPr>
        <w:pStyle w:val="ListParagraph"/>
        <w:numPr>
          <w:ilvl w:val="0"/>
          <w:numId w:val="1"/>
        </w:numPr>
        <w:spacing w:after="60"/>
      </w:pPr>
      <w:r>
        <w:t xml:space="preserve">HIGH CAUTION red-flag tier applied: an active foreign law-enforcement investigation (French PNAT) into a key technology subsidiary for embargo/sanctions-evasion-adjacent fraud is a governance-and-compliance issue directly analogous to (though not identical to) a domestic SEBI/fraud finding, and it sits at the heart of the specific catalyst ('Huron doubling') the original tip cited</w:t>
      </w:r>
    </w:p>
    <w:p>
      <w:pPr>
        <w:pStyle w:val="ListParagraph"/>
        <w:numPr>
          <w:ilvl w:val="0"/>
          <w:numId w:val="1"/>
        </w:numPr>
        <w:spacing w:after="60"/>
      </w:pPr>
      <w:r>
        <w:t xml:space="preserve">Four-box would otherwise score ~3.0 (tailwind yes, tam yes, moat weak, valuation weak) on fundamentals alone, but the HIGH CAUTION finding overrides a return-magnitude label per the red-flag rules -- keep researching, cap conviction Low-Medium, name the concern</w:t>
      </w:r>
    </w:p>
    <w:p>
      <w:pPr>
        <w:pStyle w:val="ListParagraph"/>
        <w:numPr>
          <w:ilvl w:val="0"/>
          <w:numId w:val="1"/>
        </w:numPr>
        <w:spacing w:after="60"/>
      </w:pPr>
      <w:r>
        <w:t xml:space="preserve">No live-theme match in active_themes.json; this is a company-specific, tip-driven candidate, not a theme-ranked discovery</w:t>
      </w:r>
    </w:p>
    <w:p>
      <w:pPr>
        <w:pStyle w:val="ListParagraph"/>
        <w:numPr>
          <w:ilvl w:val="0"/>
          <w:numId w:val="1"/>
        </w:numPr>
        <w:spacing w:after="60"/>
      </w:pPr>
      <w:r>
        <w:t xml:space="preserve">Flagging for the next pass: watch for the PNAT investigation's outcome and any further Huron licence actions before re-assessing</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2026-09-05T07:51:57.407Z</dcterms:created>
  <dcterms:modified xsi:type="dcterms:W3CDTF">2026-09-05T07:51:57.412Z</dcterms:modified>
</cp:coreProperties>
</file>

<file path=docProps/custom.xml><?xml version="1.0" encoding="utf-8"?>
<Properties xmlns="http://schemas.openxmlformats.org/officeDocument/2006/custom-properties" xmlns:vt="http://schemas.openxmlformats.org/officeDocument/2006/docPropsVTypes"/>
</file>