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Jyoti Resins &amp; Adhesives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Historically excellent adhesives compounder now stalled for 6+ quarters, with unresolved community questions about its asset base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Jyoti Resins &amp; Adhesives manufactures synthetic resin wood adhesives under the EURO 7000 brand, the second-largest retail wood-adhesive brand in India, competing indirectly with category leader Pidilite.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 / ROCE</w:t>
            </w:r>
          </w:p>
        </w:tc>
        <w:tc>
          <w:tcPr>
            <w:tcW w:type="dxa" w:w="5800"/>
          </w:tcPr>
          <w:p>
            <w:r>
              <w:t xml:space="preserve">35.6% / &gt;70% since FY20 (historically excellent)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Median 19.1% over 10 years, but flat for the last ~6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700 - 1,368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 exceptionally high-return historical compounder (ROCE &gt;70%, ROE ~35%) that has genuinely stalled recently -- quarterly revenue has been roughly flat for 6+ quarters against a historical double-digit growth rate, the inverse of a 'hidden inflection': strong trailing average, weak recent trend.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117 fetched posts (2024-06 to 2025-09), single batch (first-time read). Sentiment has genuinely soured as growth stalled: multiple posters (Bhupendra_Dubey, Gaurav_Tuli, AmarP) flagged flat-to-no topline movement across 6+ quarters against management's own 25% YoY guidance, with one long-term holder (AmarP) explicitly exiting in mid-2025 over the growth stall and undeployed cash. Separately, a detailed and still-unresolved analytical thread (Deepesh_Punetha, later engaged by aainahatredtillend) questions why the company's fixed-asset base (Rs 4 Cr buildings + Rs 5 Cr plant &amp; equipment) is disproportionately small relative to Rs 280 Cr of annual revenue compared to category leader Pidilite -- a legitimate open question about the company's actual manufacturing/outsourcing structure, not a formally confirmed red flag. A referenced 2016 SEBI price-rigging allegation was separately clarified by a trusted user as not a confirmed formal investigation.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Swadesh9819 (trusted, elevated) tracked cash-flow-statement detail closely (2024-2025) without raising a directional call. Vineetjain111 (trusted, elevated) and Krishna_Kumar (trusted, elevated) jointly dug into an 'other working capital items' cash-flow reconciliation question in Feb 2025 without a full resolution captured in the fetched window. radhakishandamani (trusted, elevated) clarified in Apr 2025 that a referenced 2016 SEBI price-rigging allegation did not correspond to a confirmed formal SEBI investigation, tempering an inflammatory claim. No trusted user directly resolved the asset-base-versus-revenue question raised by non-trusted posters.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2025-04-25 — radhakishandamani</w:t>
      </w:r>
      <w:r>
        <w:rPr>
          <w:i/>
          <w:iCs/>
          <w:color w:val="666666"/>
          <w:sz w:val="18"/>
          <w:szCs w:val="18"/>
        </w:rPr>
        <w:t xml:space="preserve"> (Jyoti Resins)</w:t>
      </w:r>
      <w:r>
        <w:rPr>
          <w:sz w:val="20"/>
          <w:szCs w:val="20"/>
        </w:rPr>
        <w:br/>
        <w:t xml:space="preserve">: Clarified that a circulating claim about a 2016 SEBI price-rigging investigation was not backed by a confirmed formal SEBI action.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historical capital efficiency (ROCE &gt;70%, ROE ~35% sustained since FY20) with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brand moat as India's #2 retail wood-adhesive brand, with real product growth corroborated by independent scuttlebutt (architects/carpenters) from at least one detailed community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 from an eventual real-estate up-cycle, which the adhesive category is directly leveraged to per multiple posters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has been genuinely flat for 6+ quarters against management's own 25% YoY guidance -- a real, current growth stall, not a one-off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unresolved, detailed community question about a disproportionately small fixed-asset base relative to revenue (vs. category leader Pidilite) raises a legitimate open question about the manufacturing/outsourcing model that no trusted user has fully answered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long-term holder has already exited (mid-2025) explicitly citing the growth stall and an undeployed cash pile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historically excellent compounder currently in a growth-stall/watch phase, with a legitimate unresolved balance-sheet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returns are excellent but the recent trend is weak (flat revenue for 6+ quarters) -- the opposite of the pattern that would justify an unconfirmed 10x-in-2-3-years tag, and no confirmed near-term catalyst was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unresolved fixed-asset-base-versus-revenue question, while not a formally confirmed red flag, is a legitimate open item that keeps this from a 'quality holding' conviction call absent = further clarity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if quarterly growth reaccelerates toward management's guided rate, or if the asset-base question gets a clearer community answer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2026-08-26T18:11:43.773Z</dcterms:created>
  <dcterms:modified xsi:type="dcterms:W3CDTF">2026-08-26T18:11:43.775Z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