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KEI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wires &amp; cables compounder with an EHV/HT niche and a data-centre tailwind — but large-cap, ~50x earnings, and now facing UltraTech, Adani and Birla entering the sector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Organised wires &amp; cables manufacturer; strength in EHV / HT / UHV cables (higher entry barriers than house wire), plus a small (~5-6% of revenue) EPC arm. Promoter ~35%, zero pledge.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52,000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~20% / ~15%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(5y)</w:t>
            </w:r>
          </w:p>
        </w:tc>
        <w:tc>
          <w:tcPr>
            <w:tcW w:type="dxa" w:w="5800"/>
          </w:tcPr>
          <w:p>
            <w:r>
              <w:t xml:space="preserve">~14.8%; PAT CAGR ~27%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 (post-QIP, deliberately net-cash)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~50x trailing P/E (was ~51x even after a 32% correction)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Sanand plant ~Rs 1,800-2,000 Cr, ~Rs 5,000 Cr revenue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Mgmt guidance</w:t>
            </w:r>
          </w:p>
        </w:tc>
        <w:tc>
          <w:tcPr>
            <w:tcW w:type="dxa" w:w="5800"/>
          </w:tcPr>
          <w:p>
            <w:r>
              <w:t xml:space="preserve">20%+ revenue CAGR for 3-4 yrs; ~Rs 25,000 Cr revenue by 2030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high-quality: 20% ROCE, debt-free, 27% 5-yr profit CAGR, clean promoter. The problem is price and competitive structure. The stock trades near 50x for a ~20% grower, and FY25-26 saw a step-change in competition — UltraTech (Rs 1,800 Cr capex), Adani, and now the Aditya Birla group ('Ultravolt', Rs 1,800 Cr, targeting top-2 in 5 years) — each of which has corrected the whole sector sharply on announcement. Management argues new entrants need 3-5+ years to establish plants and brand, and that KEI's UHV/EHV niche is the least contestable. Copper price volatility and potential Chinese dumping in export markets are secondary margin risks.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Copper &amp; electrification metals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organised wires &amp; cables maker; differentiated in EHV/HT/UHV cables (higher entry barrier); small EPC arm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Polycab, RR Kabel, Havells, Finolex Cables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Capital-cycle read: heavy new supply from deep-pocketed entrants (Birla Ultravolt, Adani, UltraTech) plus incumbent expansion = late-cycle margin-compression risk over 3-5 yrs; near-term incumbent pricing still intact and demand (grid + DC + housing) is strong.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constructive but thinner lately; most posters invested and treat the new entrants as a slow-moving, multi-year threat rather than a near-term earnings risk, with KEI's cable (vs wire) mix seen as more defensible than Polycab's. Recent posts (Sep 2026) note the Birla 'Ultravolt' launch triggering another sharp correction in KEI/Polycab/RR Kabel.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high-conviction call in the recent window; karanshah137 contributed a neutral data-centre TAM sizing (Rs 2,500-3,000 Cr opportunity over 5-6 yrs).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electrification / grid / data-centre cable tailwind; organised players gain share from unorganised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EHV/UHV cable technical barriers + brand + distribution; clean, debt-free, 20%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27% 5-yr profit CAGR with a funded capacity runway (Sanand)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52,000 Cr) — no 10x/100x maths off this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~50x earnings for a ~20% grower; thesis largely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step-change: UltraTech, Adani and Birla all entering with deep pockets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Copper-price swings and Chinese export-market dumping pressure margins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52,000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no (Rs 52,000 Cr large-cap, no named inflection); moat weak (UltraTech/Adani/Birla entering); valuation no (~50x for ~20% growth).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compounder, wrong size and price for this screen, and a competitive step-change underway — 'neither',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priority-1 'Copper &amp; electrification metals' (keywords cable / wire and cable / conductor). Discovery candidate, recency-surfaced.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yes; tam no — Rs 52,000 Cr large-cap with no specific named inflection; moat weak — deep-pocketed new entrants; valuation no — ~50x for ~20% growth). Score &lt;=1.5 -&gt;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fundamentally a strong, clean compounder (20% ROCE, debt-free, 27% PAT CAGR), but it does not fit the open-screen 10x/100x thesis and the entry of UltraTech/Adani/Birla is a genuine multi-year margin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read; not in the prior 108-name screen.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2026-09-04T02:30:15.420Z</dcterms:created>
  <dcterms:modified xsi:type="dcterms:W3CDTF">2026-09-04T02:30:15.421Z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