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Kaynes Technology India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Premium EMS/OSAT-semiconductor growth story, but a Kotak accounting red-flag report, CEO resignation, and a falling promoter stake warrant real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Dec 2025 Kotak Securities report flagged specific accounting-quality concerns (goodwill/intangible treatment on the Iskraemeco acquisition, contingent liabilities at 18% of net worth, related-party disclosure inconsistencies, negative operating cash flow) around the same time the CEO resigned (Sept 2025) and promoter holding fell from ~63% to ~53% over recent quarters — a cluster of governance/transparency signals, not a single isolated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Kaynes Technology is a premium electronics manufacturing services (EMS) company expanding aggressively into OSAT (semiconductor packaging/testing at its Sanand facility) and PCB manufacturing (Chennai, targeting up to 74-layer boards). It serves automotive, industrial, medical, defence, and telecom customers and is pursuing multiple JV discussions for wafer fabrication and compound semiconductors under India's ISM 2.0 programme.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26,095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9.64% / 13.2% (weak for the valuation)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CAGR</w:t>
            </w:r>
          </w:p>
        </w:tc>
        <w:tc>
          <w:tcPr>
            <w:tcW w:type="dxa" w:w="5800"/>
          </w:tcPr>
          <w:p>
            <w:r>
              <w:t xml:space="preserve">54.87% (very 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2,995 - 7,705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5.49x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has been exceptional (54.87% 5-yr CAGR, guiding 30%+ for FY27), but ROE/ROCE are weak relative to the rich valuation (5.49x book), and debtor days are high (154 days). A Dec 2025 Kotak Securities report specifically flagged accounting-quality concerns: goodwill/intangible treatment around the Iskraemeco acquisition, a mismatch between reported subsidiary profit contribution and P&amp;L, inconsistent related-party disclosures, negative operating cash flow, and contingent liabilities of Rs 520 Cr (18% of net worth).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stock has corrected over 40% from its 2025 peak as of mid-2026, per community commentary.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tone shifted sharply in Sept-Dec 2025: CEO Ramesh Kunhambu resigned (Sept 2025) with an interview community members found 'unconvincing'; a Kotak Securities report (Dec 2025) triggered a detailed multi-post accounting-red-flag debate (goodwill amortization treatment, contingent liabilities, related-party disclosure errors); promoter holding has fallen from ~63% to ~53% over recent quarters, cited by one poster without a clear management explanation. By mid-2026 sentiment partially recovered on strong OSAT/semicon order momentum and a possible large EV-manufacturer PCB deal, but the accounting overhang has not been fully resolved in the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community members (cdas3317, AJ41, kautuk) did detailed, technical breakdowns of the Kotak report; consensus leaned toward 'aggressive but not fraudulent' accounting, with a call for the company to strengthen its audit committee and reporting quality going forward.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"Kaynes Technologies a shining example of big wealth creation... Disclose Invested in ipo &amp; since long" (post #1199) — a strong, long-standing conviction call, though it predates the Sept-Dec 2025 accounting controversy that emerged after this project's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(as distinct from Man Industries, where SEBI has issued an actual order — this is a broker research-report red flag, not a regulatory finding). Promoter stake decline from ~63% to ~53% over recent quarters is a genuine, not-yet-fully-explained caution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54.87% 5-year revenue CAGR and a genuine, differentiated position in India's OSAT/semiconductor-packaging build-out (Sanand facility, PCB plant in Chennai)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business reportedly generated Rs 120+ Cr of free cash flow in FY26 despite consolidated cash-flow concerns at the smart-metering subsidiary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JV discussions in progress (wafer fab, compound semiconductors, Micro-LED) that could be significant option value if any convert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Vivek_6954, a trusted community voice, has held it since IPO with strong conviction (though before the accounting controversy)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Kotak's Dec 2025 report raised specific, technical accounting-quality concerns (goodwill/intangible treatment, contingent liabilities, related-party disclosure gaps, negative operating cash flow) that the community itself treated seriously enough to debate in depth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resignation (Sept 2025) with an interview the community found unconvincing adds to governance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falling from ~63% to ~53% over recent quarters is exactly the kind of signal this project's HIGH CAUTION tier exists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from the smart-metering subsidiary remain a live cash-flow drag as of the Q1 FY27 concall (only Rs 88 Cr of Rs 212 Cr collected)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 cap (~Rs 26,095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the underlying growth story could otherwise support a 10x-in-2-3-years case, but the combination of accounting red flags, a falling promoter stake, and a rich valuation on weak ROE means this project cannot responsibly extrapolate the growth trend with confidence right now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EMS/semiconductor growth story clouded by a real, still-unresolved accounting and governance overhang —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(Vivek_6954, 'high' not 'very-high' strength) predates the Sept-Dec 2025 accounting controversy and CEO resignation, so it does not carry a conviction floor into this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credible broker (Kotak) accounting-red-flag report combined with a falling promoter stake (~63%→~53%) is exactly the pattern this project's HIGH CAUTION tier is designed to flag, regardless of the genuine growth story underneath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caution, even though the OSAT/semiconductor opportunity itself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flagged for 30-day revisit given the HIGH CAUTION red flag tier — this should be tracked for resolution (audit committee response, next 1-2 quarters of clean disclosure) rather than revisited on a fixed timer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2026-08-22T13:27:51.662Z</dcterms:created>
  <dcterms:modified xsi:type="dcterms:W3CDTF">2026-08-22T13:27:51.665Z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