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Keltech Energies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Small-cap industrial-explosives maker (mining/infra blasting) with high, net-cash returns and 27%+ YoY growth, but no ValuePickr thread and visible margin compression alongside the growth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Manufactures cartridge and bulk emulsion explosives, MMAN solutions and explosive accessories for mining/infrastructure blasting, plus expanded perlite and perlite filter-aid products. No ValuePickr thread found (search returned only Premier Explosives and an unrelated portfolio thread as closest matches) — web-only assessment per the external-lead protocol.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870-1,370 Cr (varies by source/date; small-cap)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~25.7% / ~19.5%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Balance sheet</w:t>
            </w:r>
          </w:p>
        </w:tc>
        <w:tc>
          <w:tcPr>
            <w:tcW w:type="dxa" w:w="5800"/>
          </w:tcPr>
          <w:p>
            <w:r>
              <w:t xml:space="preserve">Net cash (net debt/equity ~-0.08)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</w:t>
            </w:r>
          </w:p>
        </w:tc>
        <w:tc>
          <w:tcPr>
            <w:tcW w:type="dxa" w:w="5800"/>
          </w:tcPr>
          <w:p>
            <w:r>
              <w:t xml:space="preserve">Net sales Rs 183.3 Cr, +27.8% YoY, +28.1% QoQ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Recent trend</w:t>
            </w:r>
          </w:p>
        </w:tc>
        <w:tc>
          <w:tcPr>
            <w:tcW w:type="dxa" w:w="5800"/>
          </w:tcPr>
          <w:p>
            <w:r>
              <w:t xml:space="preserve">Marketsmojo's own headlines across 3 quarters read 'growth masks margin pressure/compression' (Q2 FY26, Q3 FY26, Q1 FY27)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Stock</w:t>
            </w:r>
          </w:p>
        </w:tc>
        <w:tc>
          <w:tcPr>
            <w:tcW w:type="dxa" w:w="5800"/>
          </w:tcPr>
          <w:p>
            <w:r>
              <w:t xml:space="preserve">Traded within ~2% of its 52-week high as of Aug 19, 2026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Genuinely high-quality return metrics (ROCE ~26%, net cash) and strong top-line growth (+28% YoY/QoQ in Q1 FY27), which is the attractive part of the X lead's note. But the same period shows a consistent margin-compression pattern flagged independently by financial media across three straight quarters — growth is real, but it isn't (yet) translating fully to the bottom line. No VP thread exists to cross-check community read-through or governance color, so this is a web-only, lower-confidence call.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Near its 52-week high as of mid-August 2026 per third-party commentary; not independently pulled.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ValuePickr thread (forum search returned no dedicated Keltech thread in categories 11/14/17).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— no VP thread.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SEBI/fraud order; no going-concern issue found. No red_flag_tier.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~26% ROCE, net-cash balance sheet, 27-28% YoY/QoQ revenue growth in the latest quarter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Defence/mining explosives sit inside the live priority-1 'defence/aerospace manufacturing bottlenecks' theme (explosives keyword) — genuine tailwind exposure if the mining/infra blasting demand is structural, not just cyclical order lumpiness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Near its 52-week high — market is already rewarding the growth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Margin compression flagged independently by financial media across three consecutive quarters alongside the revenue growth — the growth quality is unconfirmed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VP thread means no independent community diligence on customer concentration, order-book visibility, or governance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Small-cap (~Rs 900-1,400 Cr) explosives business exposed to input-cost (ammonium nitrate) volatility and lumpy mining/infra order timing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900-1,400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weak · valuation: no  (score 1.5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 weak (mining/infra blasting demand is steady-to-growing, not a clearly structural multi-year accelerant like the defence-missile/interceptor angle the theme was built around). tam weak (small-cap, explosives is a mature, regulated, competitive category — Premier Explosives, Solar Industries dominate). moat weak (regulated licensing is a barrier to entry, but not obviously Keltech-specific pricing power). valuation no (near 52-week high already prices in the growth, and margin compression is unconfirmed to reverse). Score 1.5 -&gt; 'neither', hard.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External-lead (tier 4.5, @StocksAndStoics). topic_id could not be resolved (no VP thread found in categories 11/14/17) — per Step 3.05, kept topic_slug null and did a web-only write-up. Weak/tangential match to the priority-1 defence/explosives theme (explosives keyword), but the underlying driver here is civilian mining/infra blasting, not the defence-industrial-complex bottleneck the theme was built around — noted as a partial, not clean, theme match. four_box score 1.5 -&gt; thesis_fit 'neither', hard.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Low-Medium: genuinely high return metrics and real growth, but margin-compression flagged by outside sources across 3 quarters, no VP-community cross-check available, and the stock is already near its 52-week high.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red_flag_tier, no revisit flag. Revisit if a dedicated VP thread emerges or if Q2 FY27 shows the margin compression reversing alongside the growth.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2026-09-04T13:37:14.382Z</dcterms:created>
  <dcterms:modified xsi:type="dcterms:W3CDTF">2026-09-04T13:37:14.382Z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