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Kerala Ayurveda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Ayurvedic products and wellness-services company in severe financial distress — deeply negative returns, losses still widening, near-zero interest coverage</w:t>
      </w:r>
    </w:p>
    <w:p>
      <w:pPr>
        <w:shd w:fill="FFF0F0" w:val="clear"/>
        <w:spacing w:after="200"/>
      </w:pPr>
      <w:r>
        <w:rPr>
          <w:b/>
          <w:bCs/>
          <w:color w:val="A32020"/>
          <w:sz w:val="22"/>
          <w:szCs w:val="22"/>
        </w:rPr>
        <w:t xml:space="preserve">RED FLAG TIER: AVOID — </w:t>
      </w:r>
      <w:r>
        <w:rPr>
          <w:sz w:val="20"/>
          <w:szCs w:val="20"/>
        </w:rPr>
        <w:t xml:space="preserve">ROE about -183% (3-yr ~-85%), continuing net losses, near-zero interest coverage and a history of widening losses — severe financial distress.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Kerala Ayurveda Ltd makes classical and proprietary Ayurvedic medicines and personal-care products and runs Ayurveda wellness centres and academies in India and abroad (part of the Katra Group).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246 Cr (down ~62%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~-183% (3-yr ROE ~-85%); ROCE ~-0.5%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136 Cr; PAT ~ -Rs 26 Cr (losses continuing)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Q1 FY27 revenue +16% to ~Rs 33 Cr; operating EBITDA loss ~halved to ~Rs 3.8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Low interest coverage; trading ~22x book (tiny book value)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148 - 527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old 108-stock screen flagged AVOID on severe distress (ROE -117.5%, interest coverage 0.07x, debt/EBITDA &gt;15x, widening losses). Current data is no better and on some measures worse: ROE about -183%, three-year ROE about -85%, PAT still deeply negative. Q1 FY27 shows revenue up ~16% and the EBITDA loss roughly halved — a marginal narrowing, not a turnaround. Interest coverage remains weak and book value is tiny.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stock down ~62% over one year.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found in a category-11/14/17 search (Step 3.05). topic_slug set to null; web-only write-up. Filtered at the preliminary stage on red-flag grounds — no deep 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— no dedicated VP thread, no trusted-roster coverage.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Independent financial media has previously described an 'operational crisis' at the company. Not re-verified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Recognised brand in branded Ayurveda / wellness with domestic and overseas presence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+16% and EBITDA loss roughly halved — direction of the most recent quarter is slightly less bad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about -183%, three-year ROE about -85%, ROCE about -0.5% — severe, sustained value destruction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loss-making (~ -Rs 26 Cr) with losses that have been widening, not narrowing, at the annual level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interest coverage — operating profit cannot service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 book value; stock still down ~62% over the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Q1 improvement is a marginal loss-narrowing off a very low base, not evidence of a fixed cost structure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Microcap (~Rs 246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AVOID — severe, ongoing financial distress; the small Q1 loss-narrowing is not a turnaround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of a legacy-108-screen seed; the old 2026-08-15 AVOID call still holds and, on ROE, is arguably worse now (~-183% vs -117.5%)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Losses are continuing and interest coverage remains near zero — a going-concern-adjacent risk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single quarter of +16% revenue with a halved (still negative) EBITDA is not enough to lift the red-flag tier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2026-08-29T04:03:11.839Z</dcterms:created>
  <dcterms:modified xsi:type="dcterms:W3CDTF">2026-08-29T04:03:11.840Z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