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Krishival Foods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branded nuts + ice-cream micro-cap off a tiny base, but rich valuation, low promoter skin and unseasoned SME governance cap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Krishival Foods (incorporated 2014 as Empyrean Cashews, renamed 2023) processes raw cashew and other nuts into flavoured kernels and dried-fruit packs sold under the 'Krishival Nuts' brand through a distributor network across tier-2/3 cities. It has extended into ice cream via a wholly owned subsidiary, Melt &amp; Mellow Foods. SME-IPO in FY25 raised ~Rs 19 Cr (mostly working capital); a December rights issue at Rs 300 funds a new facility. Promoter Sujit Bangar is a former IRS officer and founder of tax-filing platform TaxBuddy.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1,035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16.2% / 13.1%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(5yr)</w:t>
            </w:r>
          </w:p>
        </w:tc>
        <w:tc>
          <w:tcPr>
            <w:tcW w:type="dxa" w:w="5800"/>
          </w:tcPr>
          <w:p>
            <w:r>
              <w:t xml:space="preserve">~61% (off a very small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CAGR (5yr)</w:t>
            </w:r>
          </w:p>
        </w:tc>
        <w:tc>
          <w:tcPr>
            <w:tcW w:type="dxa" w:w="5800"/>
          </w:tcPr>
          <w:p>
            <w:r>
              <w:t xml:space="preserve">~47.7%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~48; Book value ~Rs 75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record is genuine but comes off a micro base and is flattered by that base effect. Returns are respectable (16% ROCE) for a food processor and leverage is low. Against that, the stock already trades at ~48x earnings, and the category (nuts/dry fruit) is commodity-input-heavy with cashew price volatility flowing straight to gross margin; ice cream is capital-intensive and crowded. Two equity raises within roughly a year (SME IPO + rights) signal a still-capital-hungry model and ongoing dilution.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branded packaged foods (no live-theme match)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raw cashew/nut procurement -&gt; flavouring &amp; packing -&gt; branded distributor-led retail (tier-2/3) + ice-cream via subsidiary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 pull + distribution reach; raw-cashew sourcing is the cost-volatility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Gopal Snacks, Bikaji Foods, DFM Foods, Prataap Snacks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Value-add is packaging/branding on a commodity kernel; pricing power depends entirely on brand traction, which is unproven at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not a Tier-A candidate.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read: the VP thread was created 2026-08-31 and contains a single post - a neutral factual write-up by Chandan_Sharma (elevated roster) explicitly labelled 'not a buy/sell recommendation'. No community discussion, no conviction signal, nothing to synthesise a sentiment trend from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None. The lone post is descriptive: company history, the B2B/B2C nuts base moving into ice cream, TAM claims (global dry-fruit market ~8.5-9% CAGR, ice cream ~16% CAGR per management), and a shareholding note. It flags that the promoter group holds only 37.23% and that the MD is 'Aparna Sujit Bangar (also recorded as Aparna Arun Morale)' - a name-record discrepancy worth watching. No trusted_signals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From the OP: SME IPO FY25 (~Rs 19 Cr, working capital); rights issue December at Rs 300 for a new facility; promoter group 37.23% (MD ~34.85%, CEO and CFO ~1.19% each). Related-party/group-entity list per a 13-Mar-2026 filing.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47-61% historical revenue/PAT CAGR with 16% ROCE and low debt - a credible small branded-FMCG execution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structurally growing end-markets (branded dry fruits, ice cream) and a still-tiny ~Rs 1,000 Cr base leave a long runway if the brand travels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with a consumer/finance brand-building background (TaxBuddy)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~48 already prices sustained hyper-growth; a 10x price in 2-3 years would need ~10x earnings with the multiple held - roughly 115% EPS CAGR, well above even the historical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promoter holding (37%) - limited skin in the game for a founder-led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Promoter/MD name-record discrepancy flagged in the OP - a governance hygiene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dilutive equity raises inside ~12 months; model still working-capital-hungry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cashew input (margin volatility) and a capital-intensive, competitive ice-cream foray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SME-graduated name with no VP community scrutiny and unseasoned public-market governance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1,035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small branded-FMCG compounder, but valuation blocks the 2-3yr case and category economics plus governance gaps block the 10yr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 recency discovery (thread created 2026-08-31, surfaced via discover.py). Branded packaged foods is not an active_themes.json theme.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average is strong, not weak, so the trailing-vs-inflection carve-out does not apply - the blocker is a ~48x multiple that already discounts years of hyper-growth.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100x-in-10-years would need ~58% CAGR sustained for a decade in a commodity-input, competitive category with only 37% promoter holding - not credible; 10x-in-2-3-years needs ~115%/yr - not credible.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real growth and returns, but rich price, thin promoter skin, a name-record discrepancy, back-to-back dilution and zero community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= false (thesis_fit neither).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2026-08-31T19:04:42.486Z</dcterms:created>
  <dcterms:modified xsi:type="dcterms:W3CDTF">2026-08-31T19:04:42.487Z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