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Krishna Defence &amp; Allied Industries Ltd</w:t>
      </w:r>
    </w:p>
    <w:p>
      <w:pPr>
        <w:pBdr>
          <w:bottom w:val="single" w:color="CCCCCC" w:sz="6" w:space="8"/>
        </w:pBdr>
        <w:spacing w:after="200"/>
      </w:pPr>
      <w:r>
        <w:rPr>
          <w:i/>
          <w:iCs/>
          <w:color w:val="666666"/>
          <w:sz w:val="22"/>
          <w:szCs w:val="22"/>
        </w:rPr>
        <w:t xml:space="preserve">Fast-growing, debt-free naval/submarine-components small-cap riding India's shipbuilding and AUV push, with a real working-capital caveat</w:t>
      </w:r>
    </w:p>
    <w:p>
      <w:pPr>
        <w:pStyle w:val="Heading1"/>
        <w:spacing w:after="120" w:before="280"/>
      </w:pPr>
      <w:r>
        <w:t xml:space="preserve">Business Overview</w:t>
      </w:r>
    </w:p>
    <w:p>
      <w:pPr>
        <w:spacing w:after="120"/>
      </w:pPr>
      <w:r>
        <w:t xml:space="preserve">Krishna Defence &amp; Allied Industries (SME-listed, migrating to main board) supplies critical components (bulb bars, composite doors/hatches, and now AUV/submarine-platform technology via a JV with VABO Composites and tech transfer from CSIR-NIO) to the Indian Navy and shipbuilders, alongside a small legacy Dairy segment.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1,541 Cr</w:t>
            </w:r>
          </w:p>
        </w:tc>
      </w:tr>
      <w:tr>
        <w:tc>
          <w:tcPr>
            <w:tcW w:type="dxa" w:w="3200"/>
            <w:shd w:fill="F2F2F2" w:val="clear"/>
          </w:tcPr>
          <w:p>
            <w:r>
              <w:rPr>
                <w:b/>
                <w:bCs/>
              </w:rPr>
              <w:t xml:space="preserve">ROCE / ROE</w:t>
            </w:r>
          </w:p>
        </w:tc>
        <w:tc>
          <w:tcPr>
            <w:tcW w:type="dxa" w:w="5800"/>
          </w:tcPr>
          <w:p>
            <w:r>
              <w:t xml:space="preserve">24.3%/18.6% (annual) vs a lower 12.38%/12.6% in a more recent read -- some variance across reporting periods</w:t>
            </w:r>
          </w:p>
        </w:tc>
      </w:tr>
      <w:tr>
        <w:tc>
          <w:tcPr>
            <w:tcW w:type="dxa" w:w="3200"/>
            <w:shd w:fill="F2F2F2" w:val="clear"/>
          </w:tcPr>
          <w:p>
            <w:r>
              <w:rPr>
                <w:b/>
                <w:bCs/>
              </w:rPr>
              <w:t xml:space="preserve">Revenue growth</w:t>
            </w:r>
          </w:p>
        </w:tc>
        <w:tc>
          <w:tcPr>
            <w:tcW w:type="dxa" w:w="5800"/>
          </w:tcPr>
          <w:p>
            <w:r>
              <w:t xml:space="preserve">FY25 +83.1% (above 5yr CAGR of 50.8%); Q3FY25 revenue +198% YoY; Q4FY26 +41% YoY</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Valuation</w:t>
            </w:r>
          </w:p>
        </w:tc>
        <w:tc>
          <w:tcPr>
            <w:tcW w:type="dxa" w:w="5800"/>
          </w:tcPr>
          <w:p>
            <w:r>
              <w:t xml:space="preserve">~8.09x book value</w:t>
            </w:r>
          </w:p>
        </w:tc>
      </w:tr>
    </w:tbl>
    <w:p>
      <w:pPr>
        <w:spacing w:after="100"/>
      </w:pPr>
    </w:p>
    <w:p>
      <w:pPr>
        <w:spacing w:after="120"/>
      </w:pPr>
      <w:r>
        <w:t xml:space="preserve">Genuinely strong and accelerating growth (FY25 revenue +83%, recent quarters +40-200% YoY) on a debt-free balance sheet, with defence now over 97% of revenue (up from a legacy Dairy base), though one detailed community balance-sheet analysis flagged structurally elevated inventory days (~270 vs a typical 120-180 for defence manufacturing) as a real working-capital concern.</w:t>
      </w:r>
    </w:p>
    <w:p>
      <w:pPr>
        <w:pStyle w:val="Heading1"/>
        <w:spacing w:after="120" w:before="280"/>
      </w:pPr>
      <w:r>
        <w:t xml:space="preserve">Technical Read (Weekly / Monthly MACD + Bollinger Bands, or RSI/CCI/Williams %R proxy)</w:t>
      </w:r>
    </w:p>
    <w:p>
      <w:pPr>
        <w:spacing w:after="120"/>
      </w:pPr>
      <w:r>
        <w:t xml:space="preserve">Not independently charted this pass.</w:t>
      </w:r>
    </w:p>
    <w:p>
      <w:pPr>
        <w:pStyle w:val="Heading1"/>
        <w:spacing w:after="120" w:before="280"/>
      </w:pPr>
      <w:r>
        <w:t xml:space="preserve">ValuePickr Community Signal</w:t>
      </w:r>
    </w:p>
    <w:p>
      <w:pPr>
        <w:spacing w:after="120"/>
      </w:pPr>
      <w:r>
        <w:t xml:space="preserve">Read the most recent 50 of 55 fetched posts (2024-06 to 2026-08, essentially the thread's full history given it is young), single batch (first-time read). This is a genuinely high-conviction, heavily-tracked small-cap defence story among trusted users -- consistent order-book growth, expanding product lines (composite hatches, AUV/submarine bulb-bar technology via JVs with VABO Composites and tech transfer from CSIR-NIO), and sector tailwinds crystallizing further with a May-2026 Rs 70,000 Cr government submarine deal (MDL + thyssenkrupp). The one repeated caution across trusted posters is that despite strong narrative/order pipeline, the company still needs to convert this into 'concrete orders' at scale.</w:t>
      </w:r>
    </w:p>
    <w:p>
      <w:pPr>
        <w:spacing w:after="120"/>
      </w:pPr>
      <w:r>
        <w:rPr>
          <w:b/>
          <w:bCs/>
          <w:sz w:val="20"/>
          <w:szCs w:val="20"/>
        </w:rPr>
        <w:t xml:space="preserve">High-conviction call from a top contributor: </w:t>
      </w:r>
      <w:r>
        <w:rPr>
          <w:sz w:val="20"/>
          <w:szCs w:val="20"/>
        </w:rPr>
        <w:t xml:space="preserve">rajpanda (trusted, elevated) was the most detailed, consistent, and highly-rated tracker throughout -- covering order-book growth (Rs 187 Cr to Rs 3,326 Cr additions), major orders from L&amp;T and Ministry of Defence, the VABO Composites JV, and CSIR-NIO tech transfer for AUV development, plus a July-2026 concall on commercial shipbuilding as a new growth vector. Naman_Gupta1 (trusted, elevated) gave a well-received company overview (Dec 2024). Sudarsan93 (trusted, elevated) was the consistent voice of caution, twice noting the company 'still needs to win some concrete orders' despite strong guidance, and flagging unresolved confusion between the Krishna/Rekise Marine/SAIL AUV platform relationships. paragbharambe (non-trusted, but detailed) flagged genuinely elevated inventory days (~270 vs typical 120-180) as a real working-capital red flag in a March-2026 balance sheet analysis. ankiur.jain83 (trusted, elevated) flagged the May-2026 Rs 70,000 Cr submarine deal as a potential order-book trigger.</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2026-05-31 — ankiur.jain83</w:t>
      </w:r>
      <w:r>
        <w:rPr>
          <w:i/>
          <w:iCs/>
          <w:color w:val="666666"/>
          <w:sz w:val="18"/>
          <w:szCs w:val="18"/>
        </w:rPr>
        <w:t xml:space="preserve"> (Krishna Defence)</w:t>
      </w:r>
      <w:r>
        <w:rPr>
          <w:sz w:val="20"/>
          <w:szCs w:val="20"/>
        </w:rPr>
        <w:br/>
        <w:t xml:space="preserve">: Government's Rs 70,000 Cr, 6-submarine deal (MDL + thyssenkrupp) could be a meaningful order-book trigger for Krishna given its naval/submarine platform work.</w:t>
      </w:r>
    </w:p>
    <w:p>
      <w:pPr>
        <w:spacing w:after="100"/>
      </w:pPr>
      <w:r>
        <w:rPr>
          <w:b/>
          <w:bCs/>
          <w:sz w:val="20"/>
          <w:szCs w:val="20"/>
        </w:rPr>
        <w:t xml:space="preserve">2026-02-23 — Sudarsan93</w:t>
      </w:r>
      <w:r>
        <w:rPr>
          <w:i/>
          <w:iCs/>
          <w:color w:val="666666"/>
          <w:sz w:val="18"/>
          <w:szCs w:val="18"/>
        </w:rPr>
        <w:t xml:space="preserve"> (Krishna Defence)</w:t>
      </w:r>
      <w:r>
        <w:rPr>
          <w:sz w:val="20"/>
          <w:szCs w:val="20"/>
        </w:rPr>
        <w:br/>
        <w:t xml:space="preserve">: Company has laid strong foundations (design stake, defence electronics, PLI, DRDO tech transfers) but still needs to convert this into concrete, reported orders to move the stock further.</w:t>
      </w:r>
    </w:p>
    <w:p>
      <w:pPr>
        <w:spacing w:after="100"/>
      </w:pPr>
      <w:r>
        <w:rPr>
          <w:b/>
          <w:bCs/>
          <w:sz w:val="20"/>
          <w:szCs w:val="20"/>
        </w:rPr>
        <w:t xml:space="preserve">2025-06-13 — rajpanda</w:t>
      </w:r>
      <w:r>
        <w:rPr>
          <w:i/>
          <w:iCs/>
          <w:color w:val="666666"/>
          <w:sz w:val="18"/>
          <w:szCs w:val="18"/>
        </w:rPr>
        <w:t xml:space="preserve"> (Krishna Defence)</w:t>
      </w:r>
      <w:r>
        <w:rPr>
          <w:sz w:val="20"/>
          <w:szCs w:val="20"/>
        </w:rPr>
        <w:br/>
        <w:t xml:space="preserve">: Order book grew from Rs 187 Cr (start of FY25) with major additions from L&amp;T (Rs 105 Cr) and MoD (Rs 88 Cr); strong quarterly numbers likely to continue.</w:t>
      </w:r>
    </w:p>
    <w:p>
      <w:pPr>
        <w:pStyle w:val="Heading1"/>
        <w:spacing w:after="120" w:before="280"/>
      </w:pPr>
      <w:r>
        <w:t xml:space="preserve">BSE Corporate Actions / Other Red Flags</w:t>
      </w:r>
    </w:p>
    <w:p>
      <w:pPr>
        <w:spacing w:after="120"/>
      </w:pPr>
      <w:r>
        <w:t xml:space="preserve">Not independently checked this pass.</w:t>
      </w:r>
    </w:p>
    <w:p>
      <w:pPr>
        <w:pStyle w:val="Heading1"/>
        <w:spacing w:after="120" w:before="280"/>
      </w:pPr>
      <w:r>
        <w:t xml:space="preserve">Bull Case</w:t>
      </w:r>
    </w:p>
    <w:p>
      <w:pPr>
        <w:pStyle w:val="ListParagraph"/>
        <w:numPr>
          <w:ilvl w:val="0"/>
          <w:numId w:val="1"/>
        </w:numPr>
        <w:spacing w:after="60"/>
      </w:pPr>
      <w:r>
        <w:t xml:space="preserve">Genuinely fast, accelerating, debt-free growth (FY25 +83% revenue, individual quarters up 40-200% YoY) with defence now &gt;97% of revenue</w:t>
      </w:r>
    </w:p>
    <w:p>
      <w:pPr>
        <w:pStyle w:val="ListParagraph"/>
        <w:numPr>
          <w:ilvl w:val="0"/>
          <w:numId w:val="1"/>
        </w:numPr>
        <w:spacing w:after="60"/>
      </w:pPr>
      <w:r>
        <w:t xml:space="preserve">Diversifying into higher-value AUV/submarine platform technology via a VABO Composites JV and CSIR-NIO tech transfer, positioned ahead of India's Rs 70,000 Cr submarine program and broader Navy/commercial shipbuilding push</w:t>
      </w:r>
    </w:p>
    <w:p>
      <w:pPr>
        <w:pStyle w:val="ListParagraph"/>
        <w:numPr>
          <w:ilvl w:val="0"/>
          <w:numId w:val="1"/>
        </w:numPr>
        <w:spacing w:after="60"/>
      </w:pPr>
      <w:r>
        <w:t xml:space="preserve">Extensive, credible trusted-community tracking with detailed order-book documentation, not just narrative</w:t>
      </w:r>
    </w:p>
    <w:p>
      <w:pPr>
        <w:pStyle w:val="Heading1"/>
        <w:spacing w:after="120" w:before="280"/>
      </w:pPr>
      <w:r>
        <w:t xml:space="preserve">Bear Case / Key Risks</w:t>
      </w:r>
    </w:p>
    <w:p>
      <w:pPr>
        <w:pStyle w:val="ListParagraph"/>
        <w:numPr>
          <w:ilvl w:val="0"/>
          <w:numId w:val="1"/>
        </w:numPr>
        <w:spacing w:after="60"/>
      </w:pPr>
      <w:r>
        <w:t xml:space="preserve">A detailed community balance-sheet analysis flagged structurally elevated inventory days (~270 vs typical 120-180 for defence manufacturing) -- real working capital tied up</w:t>
      </w:r>
    </w:p>
    <w:p>
      <w:pPr>
        <w:pStyle w:val="ListParagraph"/>
        <w:numPr>
          <w:ilvl w:val="0"/>
          <w:numId w:val="1"/>
        </w:numPr>
        <w:spacing w:after="60"/>
      </w:pPr>
      <w:r>
        <w:t xml:space="preserve">Multiple trusted posters note the stock/order pipeline is still running ahead of concrete, reported new order wins -- narrative and guidance (30-40% CAGR) have outpaced confirmed bookings so far</w:t>
      </w:r>
    </w:p>
    <w:p>
      <w:pPr>
        <w:pStyle w:val="ListParagraph"/>
        <w:numPr>
          <w:ilvl w:val="0"/>
          <w:numId w:val="1"/>
        </w:numPr>
        <w:spacing w:after="60"/>
      </w:pPr>
      <w:r>
        <w:t xml:space="preserve">Some confusion/overlap in the AUV platform relationships between Krishna, Rekise Marine, and SAIL that the community itself has not fully resolved</w:t>
      </w:r>
    </w:p>
    <w:p>
      <w:pPr>
        <w:pStyle w:val="Heading1"/>
        <w:spacing w:after="120" w:before="280"/>
      </w:pPr>
      <w:r>
        <w:t xml:space="preserve">Market-Cap Tier (informational — not a gate in this project)</w:t>
      </w:r>
    </w:p>
    <w:p>
      <w:pPr>
        <w:spacing w:after="120"/>
      </w:pPr>
      <w:r>
        <w:rPr>
          <w:b/>
          <w:bCs/>
        </w:rPr>
        <w:t xml:space="preserve">Small-cap (~Rs 1,541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The strongest candidate in this batch -- fast, debt-free defence-sector growth with deep, credible trusted-community tracking, tempered by a working-capital caveat</w:t>
      </w:r>
    </w:p>
    <w:p>
      <w:pPr>
        <w:pStyle w:val="ListParagraph"/>
        <w:numPr>
          <w:ilvl w:val="0"/>
          <w:numId w:val="1"/>
        </w:numPr>
        <w:spacing w:after="60"/>
      </w:pPr>
      <w:r>
        <w:t xml:space="preserve">Both trailing and recent fundamentals are genuinely strong (accelerating growth, debt-free) and align with a structural, government-backed sector tailwind (submarine/AUV/shipbuilding push) rather than a one-off catalyst</w:t>
      </w:r>
    </w:p>
    <w:p>
      <w:pPr>
        <w:pStyle w:val="ListParagraph"/>
        <w:numPr>
          <w:ilvl w:val="0"/>
          <w:numId w:val="1"/>
        </w:numPr>
        <w:spacing w:after="60"/>
      </w:pPr>
      <w:r>
        <w:t xml:space="preserve">Medium-High conviction: extensive, credible, and consistent trusted-community engagement with concrete order-book documentation (not just narrative), balanced against a real working-capital flag (elevated inventory days) and the repeated caution that order conversion needs to catch up to guidance</w:t>
      </w:r>
    </w:p>
    <w:p>
      <w:pPr>
        <w:pStyle w:val="ListParagraph"/>
        <w:numPr>
          <w:ilvl w:val="0"/>
          <w:numId w:val="1"/>
        </w:numPr>
        <w:spacing w:after="60"/>
      </w:pPr>
      <w:r>
        <w:t xml:space="preserve">Small-cap (~Rs 1,541 Cr) with a specific, credible near-term catalyst (submarine-program order flow) makes this the best-fitting 10x-in-2-3-years candidate in this batch</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2026-08-26T18:11:43.449Z</dcterms:created>
  <dcterms:modified xsi:type="dcterms:W3CDTF">2026-08-26T18:11:43.449Z</dcterms:modified>
</cp:coreProperties>
</file>

<file path=docProps/custom.xml><?xml version="1.0" encoding="utf-8"?>
<Properties xmlns="http://schemas.openxmlformats.org/officeDocument/2006/custom-properties" xmlns:vt="http://schemas.openxmlformats.org/officeDocument/2006/docPropsVTypes"/>
</file>