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Lumax Auto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JV-rich auto-ancillary compounder -- 34% FY26 revenue growth, 26% ROE, Rs 1,450 Cr order book, CRISIL upgrade -- but at ~Rs 13,000 Cr and mid-20s% guided growth it is a compounder, not a 10x/100x candidate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Lumax Auto Technologies (LATL) supplies advanced plastics (cockpits, consoles, door panels, air-intake, tanks), structures &amp; control systems (gear shifters, actuators, seating structures), mechatronics (power-window switches, telematics/TCUs, O2 sensors), aftermarket parts and alternate-fuel/CNG-hydrogen systems. It runs a large stable of JVs (IAC India, Mannoh, Alps Alpine, Yokowo, Greenfuel). Key customers: Mahindra (~27%), Bajaj Auto (~14%), Maruti, Honda 2W, Tata Motors.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13,197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~21.2% / ~26.4%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~Rs 4,870 Cr (+34% YoY); EBITDA ~Rs 705 Cr (~14.5% margin); PAT ~Rs 337 Cr (+47%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1,450 Cr, ~90% new business, ~40% EV-agnostic/clean-mobility; realisation weighted to FY27-FY28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~25% FY26 growth; EBITDA margin 14-15%, targeting ~16% by FY27; organic growth ~1.5x industry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~0.46; long-term debt ~Rs 553 Cr; CRISIL upgrade AA- -&gt; AA; free cash ~Rs 396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1,025 - Rs 2,110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well-run compounder: 34% FY26 revenue growth, high-teens/low-20s ROCE, mid-20s ROE, a rating upgrade, a visible multi-year order book skewed to margin-accretive mechatronics (24% of the order book vs ~6% of revenue), and a credible content-per-vehicle plus new-JV growth model. Management's own framing is ~20-25% organic growth with margins drifting toward 16% -- solid, but nowhere near the growth slope a 10x-in-2-3-years or 100x-in-10-years outcome would require from a ~Rs 13,000 Cr base.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stock roughly doubled off its 2025 low; trades toward the upper half of its 52-week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(#17-67), spanning 2013 to Aug 2026 with a dense 2024-2026 block. Sentiment is consistently positive on business quality: members repeatedly call it 'a true compounder' at 'reasonable valuations for a good auto OEM'. ranvir (trusted, elevated-tier) posts detailed quarterly concall notes every quarter -- uniformly constructive but framed as tracking updates, not a fresh high-conviction buy call. Recurring caveats raised on-thread: heavy Mahindra concentration (~27%), a high dividend payout despite debt, and a 2019 minority-unfriendly transfer of the PCB unit to group company Lumax Industries; related-party transactions have historically been ~20% of turnover.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explicit roster high-conviction call. ranvir (trusted, elevated-tier) provides ongoing positive quarterly concall coverage -- informational rather than a buy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2026-02-14 — ranvir / GurpreetSingh (trusted-tier concall notes on thread)</w:t>
      </w:r>
      <w:r>
        <w:rPr>
          <w:i/>
          <w:iCs/>
          <w:color w:val="666666"/>
          <w:sz w:val="18"/>
          <w:szCs w:val="18"/>
        </w:rPr>
        <w:t xml:space="preserve"> (Lumax Auto Technologies thread)</w:t>
      </w:r>
      <w:r>
        <w:rPr>
          <w:sz w:val="20"/>
          <w:szCs w:val="20"/>
        </w:rPr>
        <w:br/>
        <w:t xml:space="preserve">: Q3 FY26: revenue +40% YoY, EBITDA +51% (15% margin), PBT +56%; order book Rs 1,450 Cr with mechatronics 24% of it (margin-accretive). Constructive tracking update, not a fresh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Historical: 2019 sale of the PCB unit to Lumax Industries at ~1x EBITDA flagged by members as a possible value transfer. Related-party transactions historically ~20% of turnover. Corporate guarantees / Section 186 limit enhancements for the IAC JV. No active regulatory action noted.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compounder: ~34% FY26 revenue growth, ~21% ROCE, ~26% ROE, CRISIL upgrade to AA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1,450 Cr order book, ~90% new business, weighted to FY27-FY28 and to margin-accretive mechatronics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EV-agnostic portfolio (&gt;90% of revenue), content-per-vehicle expansion, and a deep JV bench (IAC, Alps Alpine, Greenfuel CNG/hydrogen)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executing well on margin (targeting ~16% EBITDA by FY27) with a manageable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13,000 Cr with ~20-25% guided growth, the 10x-in-2-3-years / 100x-in-10-years bar is mathematically out of 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-- Mahindra ~27% -- and cyclicality of the underlying auto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history: 2019 PCB-unit transfer to Lumax Industries seen as minority-unfriendly; related-party transactions ~20% of turnover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doubled off its low; valuation now prices in the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13,197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auto-ancillary compounder, wrong size/slope for this screen's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 ~Rs 13,000 Cr company guiding ~20-25% organic growth cannot 10x in 2-3 years or sustain the ~58% CAGR a 100x-in-10-years outcome needs, and no catalyst on the thread bridges that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quality, order book and management execution are all genuinely good -- this is a filter-out on return-slope/size, not on quality or red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deep read; no red-flag tier; trusted coverage (ranvir) is positive but informational, so no conviction floor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(as a thesis idea). revisit_after_30d false -- it would only re-enter if a step-change catalyst (a transformational order or acquisition materially altering the growth rate) emerged.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2026-08-29T14:32:57.406Z</dcterms:created>
  <dcterms:modified xsi:type="dcterms:W3CDTF">2026-08-29T14:32:57.407Z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