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MIRC Electronics Ltd (Onida Electronics)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Legacy Onida-brand consumer electronics maker with negative ROE, declining revenue, and elevated debt — fails the quality gate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MIRC Electronics (renamed Onida Electronics Ltd in May 2026) markets consumer electronics across India under the well-known ONIDA brand — a legacy brand-turnaround story rather than a growth business at present.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1,411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(current / 3-yr)</w:t>
            </w:r>
          </w:p>
        </w:tc>
        <w:tc>
          <w:tcPr>
            <w:tcW w:type="dxa" w:w="5800"/>
          </w:tcPr>
          <w:p>
            <w:r>
              <w:t xml:space="preserve">-1.79% / -27.5%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0.58%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-2.93% (5-yr); -11.61% YoY (FY26)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80.9%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price change</w:t>
            </w:r>
          </w:p>
        </w:tc>
        <w:tc>
          <w:tcPr>
            <w:tcW w:type="dxa" w:w="5800"/>
          </w:tcPr>
          <w:p>
            <w:r>
              <w:t xml:space="preserve">-27.41%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Fails the quality gate on multiple counts: negative ROE both currently and over 3 years, near-zero ROCE (0.58%), declining revenue both over 5 years and in the most recent year (-11.61% YoY), and meaningful debt (D/E 80.9%). The ONIDA brand has legacy recognition, but the financials show a business in decline, not a growth/quality story.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Down 27.41% over the past 52 weeks — a clear downtrend, not a breakout, despite surfacing in a 'breakout rally' search context.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for MIRC Electronics/Onida — only passing mentions in general portfolio/brand-screening threads. No thread found for this name.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ValuePickr thread found for this name.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Company recently renamed from MIRC Electronics Ltd to Onida Electronics Ltd (May 2026) — a rebranding, not a fundamental change; not itself a red flag but worth noting.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Well-recognized legacy ONIDA consumer brand with potential turnaround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Reduced debt somewhat versus prior periods (per search snippet), though absolute leverage remains meaningful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ROE both currently (-1.79%) and over 3 years (-27.5%) — capital destruction, not creation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declining both over 5 years and sharply in the latest year (-11.61%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near zero (0.58%) — the business is barely covering its cost of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Debt/equity of 80.9% adds risk on top of an already weak operating picture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down 27.41% over 52 weeks — no sign of a turnaround being priced in yet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1,411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Fails the quality gate — negative ROE, declining revenue, real leverage; a legacy-brand turnaround story with no confirmed turnaround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quality-gate failures (negative ROE, declining revenue, meaningful debt) rule this out as a fundamentals-driven pick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VP community read exists to offer a qualitative counter-signal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Would need clear evidence of an operational turnaround (positive ROE, revenue growth resuming) before reconsidering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2026-08-22T02:13:53.171Z</dcterms:created>
  <dcterms:modified xsi:type="dcterms:W3CDTF">2026-08-22T02:13:53.176Z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