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MSTC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Asset-light Mini-Ratna e-auction PSU with 30% ROCE and net cash - lumpy, government-dependent earnings plus regulatory-gift optionality in EPR-certificate trading and vehicle scrappage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MSTC is a Mini-Ratna Category-I PSU that operates e-auction / e-commerce platforms for the government and PSUs - scrap (~50% of revenue), coal and mineral-block auctions, spectrum e-bidding, and newer initiatives: the CPCB-appointed national EPR (Extended Producer Responsibility) certificate trading exchange, the Vahan/vScrap vehicle-scrappage facilitation platform, gold-TRQ auctions (DGFT), and an NPA/real-estate portal. It divested its loss-making FSNL subsidiary in FY25 (Rs 320 Cr, funding a large special dividend). Asset-light, negative working-capital, high return ratios.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5,109 Cr (mid-cap); up ~64% in a year, near 52-week high (Rs 744 vs Rs 362 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~30.3% / ~26.6%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386 Cr; Profit ~Rs 234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~-14% CAGR over 5yr (post-FSNL, lumpy); Q1 FY27 described as best-ever quarterly results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Zero debt, cash-rich; high debtor days (~224)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</w:t>
            </w:r>
          </w:p>
        </w:tc>
        <w:tc>
          <w:tcPr>
            <w:tcW w:type="dxa" w:w="5800"/>
          </w:tcPr>
          <w:p>
            <w:r>
              <w:t xml:space="preserve">Optical yield ~7.5% inflated by the FSNL special dividend; normalised ~3-4%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MSTC is a high-quality asset-light platform on paper - ~30% ROCE, net cash, negative cash-conversion cycle - but earnings are genuinely lumpy and ~90% government-dependent (coal auctions, spectrum, PSU scrap), so trailing 5-year revenue has actually declined. ~50% of revenue is scrap, where clients (e.g. Coal India) periodically build their own portals then return. The investment case is almost entirely about optionality: (1) the CPCB EPR-certificate exchange, built and awaiting regulatory go-live; (2) vehicle scrappage (Vahan/vScrap volumes tripled from ~70k in FY25 to ~210k in FY26, but still &lt;2% of the eventual ~1.25 crore/year requirement). Q1 FY27 was a record quarter as scrappage began to show in the numbers.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up ~64% in a year and near its 52-week high after a sharp 2024 run-up, deep 2025 correction and 2026 recovery.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157 posts (Oct 2024 to Aug 2026). The thread is a multi-year debate on how to value a lumpy platform PSU. Bulls (AkshayBharde built a sizeable position for 5+ years; Prathamesh_Adhikari, Pranshinv track scrappage and EPR closely) see a franchise with a moat, huge optionality (EPR, scrappage, gold TRQ, TReDS) and 'paid to wait' economics. Skeptics point to: management lethargy and vague communication on datacentre/fintech plans, Coal India's on-off portal strategy, and - most sharply - a detailed August 2026 exchange where user 'manngill' (non-trusted, well-argued) dismantled a ~Rs 34,700 Cr EPR TAM claim as overstating tradeable certificate supply by 5-7x and mispricing the unit, versus trusted user GourabPaul (elevated, 'very bullish and invested') who defends a sum-of-parts toward ~Rs 34k Cr across ~15 EPR-mandated categories as a 2033+ terminal case. Trusted users vikasbargale and BuyRightSitTight are more measured - vikasbargale has exited.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Split. GourabPaul (trusted, elevated) is explicitly 'very bullish and invested' on the EPR theme. BuyRightSitTight (trusted, elevated) frames it as a 'paid to wait' dividend-plus-optionality stock, cautiously. vikasbargale (trusted, elevated) has exited. The most rigorous recent analysis in the thread (manngill, non-trusted) argues the headline EPR opportunity is materially overstated in the near term.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2025-12-02 — vikasbargale</w:t>
      </w:r>
      <w:r>
        <w:rPr>
          <w:i/>
          <w:iCs/>
          <w:color w:val="666666"/>
          <w:sz w:val="18"/>
          <w:szCs w:val="18"/>
        </w:rPr>
        <w:t xml:space="preserve"> (MSTC Ltd)</w:t>
      </w:r>
      <w:r>
        <w:rPr>
          <w:sz w:val="20"/>
          <w:szCs w:val="20"/>
        </w:rPr>
        <w:br/>
        <w:t xml:space="preserve">: Has exited MSTC ('I have also exited last year')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2026-08-16 — GourabPaul</w:t>
      </w:r>
      <w:r>
        <w:rPr>
          <w:i/>
          <w:iCs/>
          <w:color w:val="666666"/>
          <w:sz w:val="18"/>
          <w:szCs w:val="18"/>
        </w:rPr>
        <w:t xml:space="preserve"> (MSTC Ltd)</w:t>
      </w:r>
      <w:r>
        <w:rPr>
          <w:sz w:val="20"/>
          <w:szCs w:val="20"/>
        </w:rPr>
        <w:br/>
        <w:t xml:space="preserve">: 'Very bullish and invested and biased' on the EPR theme - argues a sum-of-parts across ~15 EPR-mandated categories can reach ~Rs 34k Cr of traded value over time (a 2033+ terminal case), with rates expected to become market-driven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FSNL (100% subsidiary) divested in FY25 for ~Rs 320 Cr, funding a large special dividend (~Rs 32/share) - this inflates the trailing dividend yield. CPCB appointment as national EPR-certificate exchange operator (Sep 2025); platform built, awaiting regulatory approval to commence trading. DGFT nomination for gold-TRQ e-auctions (Nov 2025). No SEBI action; it is a government-controlled PSU.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Asset-light, net-cash, ~30% ROCE platform with a negative cash-conversion cycle and a genuine trust/aggregation moat in fragmented scrap auctions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regulatory-driven optionalities: EPR-certificate exchange (built, awaiting go-live), vehicle scrappage (volumes 3x YoY and a ~60x scaling gap to the eventual requirement), gold-TRQ auctions, TReDS/real-estate portals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was a record quarter as scrappage began converting to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 user GourabPaul invested and bullish; 'paid to wait' on a ~3-4% normalised yield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Earnings are lumpy and ~90% government-dependent; trailing 5-year revenue has declined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headline EPR TAM is contested - a detailed in-thread analysis argues near-term tradeable value is 5-7x smaller than promoted, and pricing is regulator-set ('regulator gives, regulator takes', IEX-style)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communication is vague on the datacentre/fintech and new-platform plans; several trusted/long-term holders (incl. vikasbargale, Prof. Bakshi's fund) have exited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re-rated ~64% in a year to near its highs at ~Rs 5,100 Cr - much of the near-term optionality may be priced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~50% scrap revenue is exposed to large clients (Coal India) periodically insourcing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5,109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Filtered out on lumpy, government-dependent earnings and a contested headline opportunity - genuine EPR/scrappage optionality, but already re-rated and regulator-controlled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ROCE and net cash are attractive, but trailing revenue has declined and earnings are structurally lumpy - not the 'real growth' the quality gate wants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multi-bagger case rests on regulatory optionality (EPR exchange, scrappage) whose near-term size is actively disputed in-thread by well-argued analysis, and whose pricing the regulator controls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5,100 Cr after a ~64% one-year re-rate, near-term optionality is at least partly priced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on watch: re-check when the EPR exchange actually goes live with disclosed transaction volumes/fees, or when scrappage revenue becomes a material, disclosed line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2026-08-27T03:01:48.059Z</dcterms:created>
  <dcterms:modified xsi:type="dcterms:W3CDTF">2026-08-27T03:01:48.060Z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