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Man Industries (India)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Strong Q1 FY27 turnaround and a large order book cannot offset an active SEBI order for financial misrepresentation — EXCLUDE</w:t>
      </w:r>
    </w:p>
    <w:p>
      <w:pPr>
        <w:shd w:fill="FFF0F0" w:val="clear"/>
        <w:spacing w:after="200"/>
      </w:pPr>
      <w:r>
        <w:rPr>
          <w:b/>
          <w:bCs/>
          <w:color w:val="6B2020"/>
          <w:sz w:val="22"/>
          <w:szCs w:val="22"/>
        </w:rPr>
        <w:t xml:space="preserve">RED FLAG TIER: EXCLUDE — </w:t>
      </w:r>
      <w:r>
        <w:rPr>
          <w:sz w:val="20"/>
          <w:szCs w:val="20"/>
        </w:rPr>
        <w:t xml:space="preserve">SEBI order (Sept 2025) found Man Industries and three directors misrepresented financial statements FY2015-16 through FY2020-21 (non-consolidation of subsidiary accounts, undisclosed related-party transactions, fund rotation), barring them from the securities market for 2 years and fining Rs 25 lakh each. The company obtained a SAT stay in Oct 2025 after paying 50% of the penalty — an active, unresolved appeal, not a cleared matter.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 Industries manufactures LSAW, HSAW, and ERW steel pipes for oil &amp; gas and water infrastructure, with export-focused capacity in Anjar (Gujarat) and domestic-focused capacity in Pithampur (MP), plus a newly acquired Saudi Arabia facility (National Pipes Company, ~Rs 1,000 Cr, Q4 FY26).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5,366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9.23% / 16.2%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(avg)</w:t>
            </w:r>
          </w:p>
        </w:tc>
        <w:tc>
          <w:tcPr>
            <w:tcW w:type="dxa" w:w="5800"/>
          </w:tcPr>
          <w:p>
            <w:r>
              <w:t xml:space="preserve">12.4%/yr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results</w:t>
            </w:r>
          </w:p>
        </w:tc>
        <w:tc>
          <w:tcPr>
            <w:tcW w:type="dxa" w:w="5800"/>
          </w:tcPr>
          <w:p>
            <w:r>
              <w:t xml:space="preserve">Revenue +38% YoY, PAT +118% YoY, EBITDA margin 14.6% vs 10.4%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Rs 3,600 Cr + Rs 24,000 Cr bid pipeline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302 - 735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Q1 FY27 shows a genuinely strong operating turnaround (revenue +38%, PAT more than doubling, EBITDA margin expanding ~420bps) backed by a large order book and bid pipeline including the new Saudi Arabia capacity. In isolation, this would be a strong methodology-fix candidate. However, this is overridden by a confirmed regulatory finding described below.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given the EXCLUDE-tier finding below.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 thread (since 2022) with a persistent undercurrent of governance concern: a SEBI forensic-audit letter in Feb 2022 (fund-diversion concerns related to the promoter family's Merino real-estate dealings), a qualified auditor opinion over a Rs 70 Cr related-party transaction to 'Marina Shelter' (2024), and NFRA imposing a 5-year ban on the company's statutory auditor (Nov 2023) following a SEBI referral. This culminated in a confirmed SEBI order.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rupaniamit (2025-09-30, 22 loves) posted a detailed history of the promoter family split (JM Mansukhani's sons RC and JC) and the origins of the governance concerns, directly following the SEBI order — a widely-engaged, well-researched community post rather than a 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ranvir</w:t>
      </w:r>
      <w:r>
        <w:rPr>
          <w:i/>
          <w:iCs/>
          <w:color w:val="666666"/>
          <w:sz w:val="18"/>
          <w:szCs w:val="18"/>
        </w:rPr>
        <w:t xml:space="preserve"> (Ranvir's Portfolio)</w:t>
      </w:r>
      <w:r>
        <w:rPr>
          <w:sz w:val="20"/>
          <w:szCs w:val="20"/>
        </w:rPr>
        <w:br/>
        <w:t xml:space="preserve">: "Have increased portfolio weights behind bets where I think that growth rates can be faster + valuations r not expensive" — listed alongside Time Technoplast and Entero Healthcare (post #1874). This mention predates full weighting of the confirmed SEBI order's implications and is overridden by the red flag below.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SEBI issued a confirmed order (Sept 2025) finding that Man Industries (India) Ltd. and three of its directors misrepresented financial statements — non-consolidation of subsidiary accounts, undisclosed related-party transactions, and fund rotation — between FY2015-16 and FY2020-21. The company and three executives were barred from the securities market for 2 years and fined Rs 25 lakh each. The company obtained a stay from the Securities Appellate Tribunal (SAT) in Oct 2025 after paying 50% of the penalty — meaning the matter is stayed/under appeal, not resolved or cleared.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shows genuinely strong operating momentum (PAT +118% YoY) with a large, diversified order book including new Saudi Arabia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ranvir (trusted) mention exists on growth-rate/valuation grounds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SEBI has issued a confirmed order finding financial misrepresentation by the company and three directors, covering a 5-year period (FY2015-16 to FY2020-21) — this is precisely the kind of active regulatory action this project's EXCLUDE tier exists to catch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SAT stay (after paying 50% of the penalty) means the matter is under appeal, not cleared — it remains an active, unresolved regulatory action as of this scan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NFRA separately banned the company's statutory auditor for 5 years following a SEBI referral related to the same underlying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qualified auditor opinion on a separate Rs 70 Cr related-party transaction (2024) suggests governance concerns are not confined to the pre-2021 period covered by the SEBI order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5,366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 — an active SEBI order for financial misrepresentation overrides genuinely strong recent operating results and the trusted mention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this project's ground rules, a confirmed active SEBI/regulatory action always overrides a trusted mention and strong recent fundamentals — this is exactly that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SEBI order (Sept 2025) is confirmed, covers financial misrepresentation across a 5-year period, and remains under appeal (SAT stay) rather than resolved, so it counts as 'active' as of this scan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 FY27 operating turnaround is real but does not change the governance assessment — a company willing to misrepresent consolidated financials for 5 years is not a name this project can respond to on operating metrics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flagged for 30-day revisit given the EXCLUDE tier — this would need the SAT appeal to fully resolve, not a routine 30-day check, before being worth reconsidering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2026-08-22T13:27:51.828Z</dcterms:created>
  <dcterms:modified xsi:type="dcterms:W3CDTF">2026-08-22T13:27:51.829Z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