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Midwest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dominant black-granite exporter (decent returns) diversifying into quartz and rare-earth/heavy-mineral-sands — the diversification is early and not yet earning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Midwest (founded 1981, IPO 2025) is India's largest producer/exporter of Black Galaxy and Absolute Black granite — 16 mines across Telangana/Andhra Pradesh, exports to 17 countries. It is diversifying into engineered/quartz surfaces (Phase 1 commissioned Sep-25) and, via a July-2026 MoU, into rare-earth minerals (REM) / heavy mineral sands, with a Sri Lanka angle.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4,300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~19.4% / ~18.8% (granite core)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Growth</w:t>
            </w:r>
          </w:p>
        </w:tc>
        <w:tc>
          <w:tcPr>
            <w:tcW w:type="dxa" w:w="5800"/>
          </w:tcPr>
          <w:p>
            <w:r>
              <w:t xml:space="preserve">Revenue CAGR ~12% (FY23-25); EBITDA CAGR ~38%, PAT CAGR ~41%; recent revenue ~Rs 142 -&gt; ~Rs 192 Cr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margin (FY25)</w:t>
            </w:r>
          </w:p>
        </w:tc>
        <w:tc>
          <w:tcPr>
            <w:tcW w:type="dxa" w:w="5800"/>
          </w:tcPr>
          <w:p>
            <w:r>
              <w:t xml:space="preserve">~17%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Quartz</w:t>
            </w:r>
          </w:p>
        </w:tc>
        <w:tc>
          <w:tcPr>
            <w:tcW w:type="dxa" w:w="5800"/>
          </w:tcPr>
          <w:p>
            <w:r>
              <w:t xml:space="preserve">breakeven / marginal profit guided only by Q4 FY27; Phase-1 hit technical issues in FY26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granite core is a decent, cash-generative, slow-growth business (~12% revenue CAGR, ~19% ROE) with long-tenure mine leases and a dominant niche (Black Galaxy). The re-rating case rests on two unproven diversifications: quartz surfaces (not yet profitable, Phase-1 ran inefficiently for much of FY26 on technical issues, breakeven only by Q4 FY27, Phase-2 from FY28) and a new REM / heavy-mineral-sands MoU (July 2026) that a thread member says 'materially changes the REM discussion' but which is not yet quantified. FY26 audited numbers were essentially flat ('nothing changed').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Natural stone (granite) + engineered quartz surfaces + rare-earth / heavy mineral sands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Dominant Indian black-granite miner/exporter; sub-scale new entrant in quartz surfaces; aspirant in REM/HMS processing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For REM/HMS: mineral concession access + separation/processing capability (the genuine scarce node); for quartz: efficient large-format press-line operation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Pokarna (quartz/granite), Pacific Industries, IREL / mineral-sands players, global quartz-surface majors (Cosentino, Caesarstone)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REM/critical-minerals angle is the only part with a genuine bottleneck moat if it materialises; quartz surfaces is a competitive, capital-intensive commodity-ish market.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pulled; m-cap ~Rs 4,300-4,460 Cr on ~Rs 1,194-1,236 CMP per thread (end-July 2026).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deep read — the entire 9-post thread (May 2026 to Aug 2026). Small but substantive: the OP lays out the granite/quartz/REM structure; Investor_Prad (tracking since IPO, not invested) frames it as 'a topline growth story, not yet an earnings growth story' and wait-and-watch; Vinod964 (Aug 2026) picks up FY26 audited numbers and the 7-July REM MoU as the new structural detail to scrutinise. Q1 FY27 not out at time of thread.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users. Non-roster posters murali603 (OP), Investor_Prad, Vinod964 — measured, no strong conviction either way, several explicitly not invested.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Dominant, long-life niche in black granite with ~19% ROE and reduced debt — a solid cash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Quartz surfaces (Phase 1 + Phase 2) is a large adjacent market if the technical issues are genuinely resolved and utilisation ramps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July-2026 REM / heavy-mineral-sands MoU taps the critical-minerals theme — potentially a step-change optionality (with a Sri Lanka angle)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EBITDA/PAT CAGR (~38%/~41%) shows operating leverage when volumes come through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Granite core grows only ~12%; the growth thesis depends entirely on unproven diversifications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Quartz still loss-making, breakeven pushed to Q4 FY27; Phase-1 had technical problems for most of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 MoU is unquantified and unconfirmed — an announcement, not yet a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numbers flat; at ~Rs 4,300 Cr the market already prices meaningful diversification success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4,300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Solid granite base, but the growth story (quartz + REM) is unproven and unearning — 'neither' for now, worth re-checking on the REM MoU and quartz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granite core has decent (not weak) returns but only ~12% growth; quartz is still loss-making and the REM MoU is unquantified — there is no confirmed recent earnings inflection, so the small-cap recent-inflection LOW-conviction 10x tag doesn't yet apply.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'neither'; conviction Low-Medium. Set revisit_after_30d = true so the REM/HMS MoU details, the Sri Lanka angle and the quartz Q4-FY27 breakeven are tracked — this is a genuine watch, not a dismissal.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2026-08-30T17:31:11.076Z</dcterms:created>
  <dcterms:modified xsi:type="dcterms:W3CDTF">2026-08-30T17:31:11.078Z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