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Modern Insulators Ltd</w:t>
      </w:r>
    </w:p>
    <w:p>
      <w:pPr>
        <w:pBdr>
          <w:bottom w:val="single" w:color="CCCCCC" w:sz="6" w:space="8"/>
        </w:pBdr>
        <w:spacing w:after="200"/>
      </w:pPr>
      <w:r>
        <w:rPr>
          <w:i/>
          <w:iCs/>
          <w:color w:val="666666"/>
          <w:sz w:val="22"/>
          <w:szCs w:val="22"/>
        </w:rPr>
        <w:t xml:space="preserve">Pure-play porcelain-insulator duopolist riding the T&amp;D grid supercycle with a genuine capacity bottleneck and a live margin inflection -- but a fresh FY26 qualified audit opinion and no investor engagement cap conviction</w:t>
      </w:r>
    </w:p>
    <w:p>
      <w:pPr>
        <w:pStyle w:val="Heading1"/>
        <w:spacing w:after="120" w:before="280"/>
      </w:pPr>
      <w:r>
        <w:t xml:space="preserve">Business Overview</w:t>
      </w:r>
    </w:p>
    <w:p>
      <w:pPr>
        <w:spacing w:after="120"/>
      </w:pPr>
      <w:r>
        <w:t xml:space="preserve">Modern Insulators is one of only two major Indian porcelain (alumina) insulator makers (alongside Hindusthan Insulators/HIIL) supplying power transmission &amp; distribution up to 800kV -- a segment with virtually no new greenfield capacity for ~30 years since plants need legacy German technology transfer, creating a hard supply bottleneck just as India's grid build-out and CEA localization push accelerate demand. Following the demerger of the Surat yarn division into Modern Polytex Ltd (effective 31 Oct 2025; 1 Modern Polytex share per 2 Modern Insulators shares), the company is now a pure-play insulator business.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2,000-2,300 Cr (price ~Rs 430; 52-wk Rs 89-579)</w:t>
            </w:r>
          </w:p>
        </w:tc>
      </w:tr>
      <w:tr>
        <w:tc>
          <w:tcPr>
            <w:tcW w:type="dxa" w:w="3200"/>
            <w:shd w:fill="F2F2F2" w:val="clear"/>
          </w:tcPr>
          <w:p>
            <w:r>
              <w:rPr>
                <w:b/>
                <w:bCs/>
              </w:rPr>
              <w:t xml:space="preserve">FY26 Revenue / PAT</w:t>
            </w:r>
          </w:p>
        </w:tc>
        <w:tc>
          <w:tcPr>
            <w:tcW w:type="dxa" w:w="5800"/>
          </w:tcPr>
          <w:p>
            <w:r>
              <w:t xml:space="preserve">Rs 720 Cr (+43% YoY) / Rs 80 Cr reported (~2x YoY); standalone PAT Rs 82.9 Cr carries a QUALIFIED audit opinion</w:t>
            </w:r>
          </w:p>
        </w:tc>
      </w:tr>
      <w:tr>
        <w:tc>
          <w:tcPr>
            <w:tcW w:type="dxa" w:w="3200"/>
            <w:shd w:fill="F2F2F2" w:val="clear"/>
          </w:tcPr>
          <w:p>
            <w:r>
              <w:rPr>
                <w:b/>
                <w:bCs/>
              </w:rPr>
              <w:t xml:space="preserve">Q1 FY27</w:t>
            </w:r>
          </w:p>
        </w:tc>
        <w:tc>
          <w:tcPr>
            <w:tcW w:type="dxa" w:w="5800"/>
          </w:tcPr>
          <w:p>
            <w:r>
              <w:t xml:space="preserve">Revenue ~Rs 187-198 Cr (+33-35% YoY, ~flat QoQ); PAT ~Rs 29-29.6 Cr (+79-94% YoY); OPM ~16%</w:t>
            </w:r>
          </w:p>
        </w:tc>
      </w:tr>
      <w:tr>
        <w:tc>
          <w:tcPr>
            <w:tcW w:type="dxa" w:w="3200"/>
            <w:shd w:fill="F2F2F2" w:val="clear"/>
          </w:tcPr>
          <w:p>
            <w:r>
              <w:rPr>
                <w:b/>
                <w:bCs/>
              </w:rPr>
              <w:t xml:space="preserve">Margin trajectory</w:t>
            </w:r>
          </w:p>
        </w:tc>
        <w:tc>
          <w:tcPr>
            <w:tcW w:type="dxa" w:w="5800"/>
          </w:tcPr>
          <w:p>
            <w:r>
              <w:t xml:space="preserve">OPM stepped from ~9-11% (FY25 qtrs) to ~16-17% (FY26-Q1FY27) on realisation gains (+&gt;50% YoY prices, ~1-yr lag)</w:t>
            </w:r>
          </w:p>
        </w:tc>
      </w:tr>
      <w:tr>
        <w:tc>
          <w:tcPr>
            <w:tcW w:type="dxa" w:w="3200"/>
            <w:shd w:fill="F2F2F2" w:val="clear"/>
          </w:tcPr>
          <w:p>
            <w:r>
              <w:rPr>
                <w:b/>
                <w:bCs/>
              </w:rPr>
              <w:t xml:space="preserve">ROE / ROCE</w:t>
            </w:r>
          </w:p>
        </w:tc>
        <w:tc>
          <w:tcPr>
            <w:tcW w:type="dxa" w:w="5800"/>
          </w:tcPr>
          <w:p>
            <w:r>
              <w:t xml:space="preserve">15.8% / 19.4% (flattered by unprovided tax)</w:t>
            </w:r>
          </w:p>
        </w:tc>
      </w:tr>
      <w:tr>
        <w:tc>
          <w:tcPr>
            <w:tcW w:type="dxa" w:w="3200"/>
            <w:shd w:fill="F2F2F2" w:val="clear"/>
          </w:tcPr>
          <w:p>
            <w:r>
              <w:rPr>
                <w:b/>
                <w:bCs/>
              </w:rPr>
              <w:t xml:space="preserve">Debt</w:t>
            </w:r>
          </w:p>
        </w:tc>
        <w:tc>
          <w:tcPr>
            <w:tcW w:type="dxa" w:w="5800"/>
          </w:tcPr>
          <w:p>
            <w:r>
              <w:t xml:space="preserve">Low -- total borrowings ~Rs 68 Cr FY26; CRISIL upgraded to A-/Stable (May 2026), bank facilities raised to Rs 165 Cr (Aug 2026)</w:t>
            </w:r>
          </w:p>
        </w:tc>
      </w:tr>
      <w:tr>
        <w:tc>
          <w:tcPr>
            <w:tcW w:type="dxa" w:w="3200"/>
            <w:shd w:fill="F2F2F2" w:val="clear"/>
          </w:tcPr>
          <w:p>
            <w:r>
              <w:rPr>
                <w:b/>
                <w:bCs/>
              </w:rPr>
              <w:t xml:space="preserve">Capacity</w:t>
            </w:r>
          </w:p>
        </w:tc>
        <w:tc>
          <w:tcPr>
            <w:tcW w:type="dxa" w:w="5800"/>
          </w:tcPr>
          <w:p>
            <w:r>
              <w:t xml:space="preserve">26,000 MTPA at Abu Road, Rajasthan; running ~100% utilisation; NO capacity-expansion capex announced</w:t>
            </w:r>
          </w:p>
        </w:tc>
      </w:tr>
      <w:tr>
        <w:tc>
          <w:tcPr>
            <w:tcW w:type="dxa" w:w="3200"/>
            <w:shd w:fill="F2F2F2" w:val="clear"/>
          </w:tcPr>
          <w:p>
            <w:r>
              <w:rPr>
                <w:b/>
                <w:bCs/>
              </w:rPr>
              <w:t xml:space="preserve">Dividend / Promoter</w:t>
            </w:r>
          </w:p>
        </w:tc>
        <w:tc>
          <w:tcPr>
            <w:tcW w:type="dxa" w:w="5800"/>
          </w:tcPr>
          <w:p>
            <w:r>
              <w:t xml:space="preserve">Zero dividend FY26; promoter ~60.2%, stable, no pledge</w:t>
            </w:r>
          </w:p>
        </w:tc>
      </w:tr>
    </w:tbl>
    <w:p>
      <w:pPr>
        <w:spacing w:after="100"/>
      </w:pPr>
    </w:p>
    <w:p>
      <w:pPr>
        <w:spacing w:after="120"/>
      </w:pPr>
      <w:r>
        <w:t xml:space="preserve">The operating story is genuinely strong and the margin inflection is now visible in four consecutive quarterly prints: OPM has moved from ~10% to ~16-17% as &gt;50% YoY realisation increases flow through with a ~1-year lag, on a plant already at 100% utilisation in a two-player market with no possible near-term supply response. Q1 FY27 PAT ~Rs 29 Cr annualises to ~Rs 115-120 Cr against a ~Rs 2,000-2,300 Cr market cap -- roughly 18x forward, undemanding if the pricing cycle persists. Two material caveats emerged this pass. First, the FY26 audited accounts carry a QUALIFIED opinion: the company has not provided for taxation (cumulative ~Rs 127.8 Cr, ~Rs 9.4 Cr for FY26) pending a proposed amalgamation with group entity Modern Denim Ltd, so reported earnings are overstated versus fully-taxed earnings and signal an aggressive accounting posture. Second, the forum's much-cited ~Rs 300 Cr FY28 PAT depends on a capacity expansion that has NOT been announced in any exchange filing -- the second earnings leg is an assumption, not a plan. Against that, the near-term FY27 path (full-year pure-play insulator base + residual price lag) looks under-appreciated by a ~21x trailing multiple.</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2026-09-03.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audited results + qualified audit opinion (deferred-tax non-provision, Modern Denim amalgamation) via press/Whalesbook; FY22-FY26 P&amp;L via screener.in</w:t>
      </w:r>
    </w:p>
    <w:p>
      <w:pPr>
        <w:pStyle w:val="ListParagraph"/>
        <w:numPr>
          <w:ilvl w:val="0"/>
          <w:numId w:val="1"/>
        </w:numPr>
        <w:spacing w:after="60"/>
      </w:pPr>
      <w:r>
        <w:t xml:space="preserve">Q1 FY27 + Q2-Q4 FY26 results and margin trajectory via screener.in, Business Standard, scanx</w:t>
      </w:r>
    </w:p>
    <w:p>
      <w:pPr>
        <w:pStyle w:val="ListParagraph"/>
        <w:numPr>
          <w:ilvl w:val="0"/>
          <w:numId w:val="1"/>
        </w:numPr>
        <w:spacing w:after="60"/>
      </w:pPr>
      <w:r>
        <w:t xml:space="preserve">BSE announcements Feb-Aug 2026 via Trendlyne; CRISIL rating action (May/Aug 2026); demerger scheme (Modern Polytex, Oct 2025)</w:t>
      </w:r>
    </w:p>
    <w:p>
      <w:pPr>
        <w:spacing w:after="120"/>
      </w:pPr>
      <w:r>
        <w:rPr>
          <w:b/>
          <w:bCs/>
          <w:sz w:val="20"/>
          <w:szCs w:val="20"/>
        </w:rPr>
        <w:t xml:space="preserve">Annual-report findings (3-year view):</w:t>
      </w:r>
    </w:p>
    <w:p>
      <w:pPr>
        <w:pStyle w:val="ListParagraph"/>
        <w:numPr>
          <w:ilvl w:val="0"/>
          <w:numId w:val="1"/>
        </w:numPr>
        <w:spacing w:after="60"/>
      </w:pPr>
      <w:r>
        <w:t xml:space="preserve">FY26 revenue Rs 720 Cr (+43% YoY), reported PAT ~Rs 80 Cr (roughly doubled); operating profit Rs 116.6 Cr, PBT Rs 100.8 Cr</w:t>
      </w:r>
    </w:p>
    <w:p>
      <w:pPr>
        <w:pStyle w:val="ListParagraph"/>
        <w:numPr>
          <w:ilvl w:val="0"/>
          <w:numId w:val="1"/>
        </w:numPr>
        <w:spacing w:after="60"/>
      </w:pPr>
      <w:r>
        <w:t xml:space="preserve">QUALIFIED audit opinion: no provision for taxation, cumulative ~Rs 127.8 Cr (Rs 9.4 Cr for FY26), deferred pending the proposed amalgamation with group entity Modern Denim Ltd -- reported earnings overstated vs fully-taxed basis</w:t>
      </w:r>
    </w:p>
    <w:p>
      <w:pPr>
        <w:pStyle w:val="ListParagraph"/>
        <w:numPr>
          <w:ilvl w:val="0"/>
          <w:numId w:val="1"/>
        </w:numPr>
        <w:spacing w:after="60"/>
      </w:pPr>
      <w:r>
        <w:t xml:space="preserve">Yarn (Surat) division demerged into Modern Polytex Ltd effective 31 Oct 2025; company is now pure-play insulators (&gt;90% of revenue already)</w:t>
      </w:r>
    </w:p>
    <w:p>
      <w:pPr>
        <w:pStyle w:val="ListParagraph"/>
        <w:numPr>
          <w:ilvl w:val="0"/>
          <w:numId w:val="1"/>
        </w:numPr>
        <w:spacing w:after="60"/>
      </w:pPr>
      <w:r>
        <w:t xml:space="preserve">Rs 25 Cr board-approved (26 Jun 2026) into Buoyant Large Value Fund (external AIF) instead of capacity; zero dividend declared for FY26</w:t>
      </w:r>
    </w:p>
    <w:p>
      <w:pPr>
        <w:pStyle w:val="ListParagraph"/>
        <w:numPr>
          <w:ilvl w:val="0"/>
          <w:numId w:val="1"/>
        </w:numPr>
        <w:spacing w:after="60"/>
      </w:pPr>
      <w:r>
        <w:t xml:space="preserve">Installed capacity 26,000 MTPA at Abu Road, Rajasthan, at ~100% utilisation; no greenfield/brownfield expansion announced</w:t>
      </w:r>
    </w:p>
    <w:p>
      <w:pPr>
        <w:pStyle w:val="ListParagraph"/>
        <w:numPr>
          <w:ilvl w:val="0"/>
          <w:numId w:val="1"/>
        </w:numPr>
        <w:spacing w:after="60"/>
      </w:pPr>
      <w:r>
        <w:t xml:space="preserve">Borrowings low (~Rs 68 Cr); CRISIL upgraded long-term rating to A-/Stable (May 2026), bank facilities enhanced to Rs 165 Cr (Aug 2026)</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OPM sequence: ~11% (Q1FY25), ~9% (Q2FY25), ~11% (Q3FY25), ~16% (Q4FY25), ~16% (Q1FY26), ~17% (Q2FY26) -&gt; structural step-up, not a one-off</w:t>
      </w:r>
    </w:p>
    <w:p>
      <w:pPr>
        <w:pStyle w:val="ListParagraph"/>
        <w:numPr>
          <w:ilvl w:val="0"/>
          <w:numId w:val="1"/>
        </w:numPr>
        <w:spacing w:after="60"/>
      </w:pPr>
      <w:r>
        <w:t xml:space="preserve">Q3 FY26 standalone PAT Rs 24.7 Cr (+166% YoY), revenue Rs 199 Cr (+60% YoY); Q1 FY27 PAT ~Rs 29-29.6 Cr (+79-94% YoY), revenue ~Rs 187-198 Cr (+33-35% YoY, ~flat QoQ)</w:t>
      </w:r>
    </w:p>
    <w:p>
      <w:pPr>
        <w:pStyle w:val="ListParagraph"/>
        <w:numPr>
          <w:ilvl w:val="0"/>
          <w:numId w:val="1"/>
        </w:numPr>
        <w:spacing w:after="60"/>
      </w:pPr>
      <w:r>
        <w:t xml:space="preserve">Growth driver explicitly cited as insulator-segment demand amid transmission capex acceleration; realisation gains (~+50% YoY) still lagging into reported margins</w:t>
      </w:r>
    </w:p>
    <w:p>
      <w:pPr>
        <w:pStyle w:val="ListParagraph"/>
        <w:numPr>
          <w:ilvl w:val="0"/>
          <w:numId w:val="1"/>
        </w:numPr>
        <w:spacing w:after="60"/>
      </w:pPr>
      <w:r>
        <w:t xml:space="preserve">No management concall / investor call held; no formal guidance issued in any quarter</w:t>
      </w:r>
    </w:p>
    <w:p>
      <w:pPr>
        <w:spacing w:after="120"/>
      </w:pPr>
      <w:r>
        <w:rPr>
          <w:b/>
          <w:bCs/>
          <w:sz w:val="20"/>
          <w:szCs w:val="20"/>
        </w:rPr>
        <w:t xml:space="preserve">Exchange announcements (last 6 months):</w:t>
      </w:r>
    </w:p>
    <w:p>
      <w:pPr>
        <w:pStyle w:val="ListParagraph"/>
        <w:numPr>
          <w:ilvl w:val="0"/>
          <w:numId w:val="1"/>
        </w:numPr>
        <w:spacing w:after="60"/>
      </w:pPr>
      <w:r>
        <w:t xml:space="preserve">10 Aug 2026: Q1 FY27 results (rev ~Rs 198 Cr, PAT ~Rs 29.6 Cr, EPS ~Rs 6.28)</w:t>
      </w:r>
    </w:p>
    <w:p>
      <w:pPr>
        <w:pStyle w:val="ListParagraph"/>
        <w:numPr>
          <w:ilvl w:val="0"/>
          <w:numId w:val="1"/>
        </w:numPr>
        <w:spacing w:after="60"/>
      </w:pPr>
      <w:r>
        <w:t xml:space="preserve">20 Aug 2026: CRISIL A-/Stable, short-term A2+; bank facilities to Rs 165 Cr</w:t>
      </w:r>
    </w:p>
    <w:p>
      <w:pPr>
        <w:pStyle w:val="ListParagraph"/>
        <w:numPr>
          <w:ilvl w:val="0"/>
          <w:numId w:val="1"/>
        </w:numPr>
        <w:spacing w:after="60"/>
      </w:pPr>
      <w:r>
        <w:t xml:space="preserve">26 Jun 2026: Rs 25 Cr investment approved in Buoyant Large Value Fund (AIF)</w:t>
      </w:r>
    </w:p>
    <w:p>
      <w:pPr>
        <w:pStyle w:val="ListParagraph"/>
        <w:numPr>
          <w:ilvl w:val="0"/>
          <w:numId w:val="1"/>
        </w:numPr>
        <w:spacing w:after="60"/>
      </w:pPr>
      <w:r>
        <w:t xml:space="preserve">22 Jan 2026: NCLT petition on Modern Denim amalgamation disposed; scheme still pending approval</w:t>
      </w:r>
    </w:p>
    <w:p>
      <w:pPr>
        <w:pStyle w:val="ListParagraph"/>
        <w:numPr>
          <w:ilvl w:val="0"/>
          <w:numId w:val="1"/>
        </w:numPr>
        <w:spacing w:after="60"/>
      </w:pPr>
      <w:r>
        <w:t xml:space="preserve">31 Oct 2025: yarn division demerger into Modern Polytex Ltd effective</w:t>
      </w:r>
    </w:p>
    <w:p>
      <w:pPr>
        <w:spacing w:after="120"/>
      </w:pPr>
      <w:r>
        <w:rPr>
          <w:b/>
          <w:bCs/>
          <w:sz w:val="20"/>
          <w:szCs w:val="20"/>
        </w:rPr>
        <w:t xml:space="preserve">Key new facts vs. the prior write-up:</w:t>
      </w:r>
    </w:p>
    <w:p>
      <w:pPr>
        <w:pStyle w:val="ListParagraph"/>
        <w:numPr>
          <w:ilvl w:val="0"/>
          <w:numId w:val="1"/>
        </w:numPr>
        <w:spacing w:after="60"/>
      </w:pPr>
      <w:r>
        <w:t xml:space="preserve">FY26 QUALIFIED audit opinion on ~Rs 127.8 Cr cumulative unprovided tax (Modern Denim amalgamation) -- not in the prior write-up; materially lowers earnings quality</w:t>
      </w:r>
    </w:p>
    <w:p>
      <w:pPr>
        <w:pStyle w:val="ListParagraph"/>
        <w:numPr>
          <w:ilvl w:val="0"/>
          <w:numId w:val="1"/>
        </w:numPr>
        <w:spacing w:after="60"/>
      </w:pPr>
      <w:r>
        <w:t xml:space="preserve">Company is now a clean pure-play insulator business post the Modern Polytex demerger (Oct 2025)</w:t>
      </w:r>
    </w:p>
    <w:p>
      <w:pPr>
        <w:pStyle w:val="ListParagraph"/>
        <w:numPr>
          <w:ilvl w:val="0"/>
          <w:numId w:val="1"/>
        </w:numPr>
        <w:spacing w:after="60"/>
      </w:pPr>
      <w:r>
        <w:t xml:space="preserve">CRISIL upgrade to A-/Stable and facilities raised to Rs 165 Cr (Aug 2026)</w:t>
      </w:r>
    </w:p>
    <w:p>
      <w:pPr>
        <w:pStyle w:val="ListParagraph"/>
        <w:numPr>
          <w:ilvl w:val="0"/>
          <w:numId w:val="1"/>
        </w:numPr>
        <w:spacing w:after="60"/>
      </w:pPr>
      <w:r>
        <w:t xml:space="preserve">AIF allocation confirmed as Rs 25 Cr into Buoyant Large Value Fund, board-approved 26 Jun 2026</w:t>
      </w:r>
    </w:p>
    <w:p>
      <w:pPr>
        <w:pStyle w:val="ListParagraph"/>
        <w:numPr>
          <w:ilvl w:val="0"/>
          <w:numId w:val="1"/>
        </w:numPr>
        <w:spacing w:after="60"/>
      </w:pPr>
      <w:r>
        <w:t xml:space="preserve">Margin step-up (OPM ~10% -&gt; ~16-17%) is confirmed across four consecutive quarterly prints</w:t>
      </w:r>
    </w:p>
    <w:p>
      <w:pPr>
        <w:spacing w:after="120"/>
      </w:pPr>
      <w:r>
        <w:rPr>
          <w:b/>
          <w:bCs/>
          <w:sz w:val="20"/>
          <w:szCs w:val="20"/>
        </w:rPr>
        <w:t xml:space="preserve">Open questions / what to watch:</w:t>
      </w:r>
    </w:p>
    <w:p>
      <w:pPr>
        <w:pStyle w:val="ListParagraph"/>
        <w:numPr>
          <w:ilvl w:val="0"/>
          <w:numId w:val="1"/>
        </w:numPr>
        <w:spacing w:after="60"/>
      </w:pPr>
      <w:r>
        <w:t xml:space="preserve">Is any capacity expansion actually planned? The FY28 earnings leg cited by the forum has no announced capex behind it</w:t>
      </w:r>
    </w:p>
    <w:p>
      <w:pPr>
        <w:pStyle w:val="ListParagraph"/>
        <w:numPr>
          <w:ilvl w:val="0"/>
          <w:numId w:val="1"/>
        </w:numPr>
        <w:spacing w:after="60"/>
      </w:pPr>
      <w:r>
        <w:t xml:space="preserve">When/if the Modern Denim amalgamation completes, what is the true tax charge and cash outflow, and does the qualified opinion recur in FY27?</w:t>
      </w:r>
    </w:p>
    <w:p>
      <w:pPr>
        <w:pStyle w:val="ListParagraph"/>
        <w:numPr>
          <w:ilvl w:val="0"/>
          <w:numId w:val="1"/>
        </w:numPr>
        <w:spacing w:after="60"/>
      </w:pPr>
      <w:r>
        <w:t xml:space="preserve">How durable are the realisation gains if T&amp;D ordering slows -- structural (duopoly) or cyclical (capex-cycle) pricing?</w:t>
      </w:r>
    </w:p>
    <w:p>
      <w:pPr>
        <w:pStyle w:val="ListParagraph"/>
        <w:numPr>
          <w:ilvl w:val="0"/>
          <w:numId w:val="1"/>
        </w:numPr>
        <w:spacing w:after="60"/>
      </w:pPr>
      <w:r>
        <w:t xml:space="preserve">Why route Rs 25 Cr to an external AIF while at 100% utilisation with a demand bottleneck?</w:t>
      </w:r>
    </w:p>
    <w:p>
      <w:pPr>
        <w:spacing w:after="120" w:before="120"/>
      </w:pPr>
      <w:r>
        <w:rPr>
          <w:b/>
          <w:bCs/>
          <w:sz w:val="20"/>
          <w:szCs w:val="20"/>
        </w:rPr>
        <w:t xml:space="preserve">Conviction impact: </w:t>
      </w:r>
      <w:r>
        <w:rPr>
          <w:sz w:val="20"/>
          <w:szCs w:val="20"/>
        </w:rPr>
        <w:t xml:space="preserve">Medium-High -&gt; Medium. The operating inflection is real and now printed, but a fresh FY26 qualified audit opinion on unprovided tax, continued zero investor engagement, an unexplained AIF allocation, and no announced capacity expansion for the second earnings leg together outweigh the improved rating and pure-play clarity.</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60" w:before="120"/>
      </w:pPr>
      <w:r>
        <w:rPr>
          <w:b/>
          <w:bCs/>
          <w:sz w:val="20"/>
          <w:szCs w:val="20"/>
        </w:rPr>
        <w:t xml:space="preserve">Earnings chain: </w:t>
      </w:r>
      <w:r>
        <w:rPr>
          <w:b w:val="false"/>
          <w:bCs w:val="false"/>
          <w:sz w:val="20"/>
          <w:szCs w:val="20"/>
        </w:rPr>
        <w:t xml:space="preserve">T&amp;D grid capex + CEA import-localisation</w:t>
      </w:r>
      <w:r>
        <w:rPr>
          <w:color w:val="666666"/>
          <w:sz w:val="20"/>
          <w:szCs w:val="20"/>
        </w:rPr>
        <w:t xml:space="preserve"> → </w:t>
      </w:r>
      <w:r>
        <w:rPr>
          <w:b w:val="false"/>
          <w:bCs w:val="false"/>
          <w:sz w:val="20"/>
          <w:szCs w:val="20"/>
        </w:rPr>
        <w:t xml:space="preserve">insulator demand &gt; domestic supply (duopoly, ~100% utilisation, 18-mo lead times)</w:t>
      </w:r>
      <w:r>
        <w:rPr>
          <w:color w:val="666666"/>
          <w:sz w:val="20"/>
          <w:szCs w:val="20"/>
        </w:rPr>
        <w:t xml:space="preserve"> → </w:t>
      </w:r>
      <w:r>
        <w:rPr>
          <w:b w:val="false"/>
          <w:bCs w:val="false"/>
          <w:sz w:val="20"/>
          <w:szCs w:val="20"/>
        </w:rPr>
        <w:t xml:space="preserve">realisation / price increases (+&gt;50% YoY, ~1-yr lag)</w:t>
      </w:r>
      <w:r>
        <w:rPr>
          <w:color w:val="666666"/>
          <w:sz w:val="20"/>
          <w:szCs w:val="20"/>
        </w:rPr>
        <w:t xml:space="preserve"> → </w:t>
      </w:r>
      <w:r>
        <w:rPr>
          <w:b w:val="false"/>
          <w:bCs w:val="false"/>
          <w:sz w:val="20"/>
          <w:szCs w:val="20"/>
        </w:rPr>
        <w:t xml:space="preserve">revenue growth + operating leverage on a fixed 26,000 MTPA base</w:t>
      </w:r>
      <w:r>
        <w:rPr>
          <w:color w:val="666666"/>
          <w:sz w:val="20"/>
          <w:szCs w:val="20"/>
        </w:rPr>
        <w:t xml:space="preserve"> → </w:t>
      </w:r>
      <w:r>
        <w:rPr>
          <w:b w:val="false"/>
          <w:bCs w:val="false"/>
          <w:sz w:val="20"/>
          <w:szCs w:val="20"/>
        </w:rPr>
        <w:t xml:space="preserve">EBITDA margin step-up (~10% -&gt; ~16-17%)</w:t>
      </w:r>
      <w:r>
        <w:rPr>
          <w:color w:val="666666"/>
          <w:sz w:val="20"/>
          <w:szCs w:val="20"/>
        </w:rPr>
        <w:t xml:space="preserve"> → </w:t>
      </w:r>
      <w:r>
        <w:rPr>
          <w:b w:val="false"/>
          <w:bCs w:val="false"/>
          <w:sz w:val="20"/>
          <w:szCs w:val="20"/>
        </w:rPr>
        <w:t xml:space="preserve">PAT (less any true tax charge once deferred-tax overhang resolves)</w:t>
      </w:r>
    </w:p>
    <w:p>
      <w:pPr>
        <w:spacing w:after="120"/>
      </w:pPr>
      <w:r>
        <w:rPr>
          <w:color w:val="666666"/>
          <w:sz w:val="18"/>
          <w:szCs w:val="18"/>
        </w:rPr>
        <w:t xml:space="preserve">Bottleneck link: own capacity -- 26,000 MTPA at ~100% utilisation with no announced expansion.</w:t>
      </w:r>
    </w:p>
    <w:p>
      <w:pPr>
        <w:spacing w:after="120"/>
      </w:pPr>
      <w:r>
        <w:rPr>
          <w:color w:val="666666"/>
          <w:sz w:val="18"/>
          <w:szCs w:val="18"/>
        </w:rPr>
        <w:t xml:space="preserve">Operating leverage: yes -- OPM rose from ~10% to ~16-17% across four quarters on price + scale on a fixed asset base</w:t>
      </w:r>
    </w:p>
    <w:p>
      <w:pPr>
        <w:spacing w:after="120"/>
      </w:pPr>
      <w:r>
        <w:rPr>
          <w:color w:val="666666"/>
          <w:sz w:val="18"/>
          <w:szCs w:val="18"/>
        </w:rPr>
        <w:t xml:space="preserve">Evidenced: insulator demand &gt; domestic supply (duopoly, ~100% utilisation, 18-mo lead times); realisation / price increases (+&gt;50% YoY, ~1-yr lag); revenue growth + operating leverage on a fixed 26,000 MTPA base; EBITDA margin step-up (~10% -&gt; ~16-17%). Still assumed: durability of realisation gains beyond the current capex cycle; capacity expansion needed for any FY28 step-up in volumes; PAT (less any true tax charge once deferred-tax overhang resolves).</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2026-09-03</w:t>
            </w:r>
          </w:p>
        </w:tc>
      </w:tr>
      <w:tr>
        <w:tc>
          <w:tcPr>
            <w:tcW w:type="dxa" w:w="3200"/>
            <w:shd w:fill="F2F2F2" w:val="clear"/>
          </w:tcPr>
          <w:p>
            <w:r>
              <w:rPr>
                <w:b/>
                <w:bCs/>
              </w:rPr>
              <w:t xml:space="preserve">Price / multiple</w:t>
            </w:r>
          </w:p>
        </w:tc>
        <w:tc>
          <w:tcPr>
            <w:tcW w:type="dxa" w:w="5800"/>
          </w:tcPr>
          <w:p>
            <w:r>
              <w:t xml:space="preserve">Rs ~Rs 430 · ~21.5x trailing reported (screener.in); ~28-30x on a fully-taxed / normalised basis; ~18x on the Q1 FY27 annualised run-ratex P/E · ~13-14x trailing (approx.)x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At ~21x trailing, with a high-quality duopoly asset discounted for governance, a defensible exit multiple is ~18-20x; today's price needs only ~12-18% EPS CAGR FY26-&gt;FY28 to be fair on that exit.</w:t>
            </w:r>
          </w:p>
        </w:tc>
      </w:tr>
      <w:tr>
        <w:tc>
          <w:tcPr>
            <w:tcW w:type="dxa" w:w="3200"/>
            <w:shd w:fill="F2F2F2" w:val="clear"/>
          </w:tcPr>
          <w:p>
            <w:r>
              <w:rPr>
                <w:b/>
                <w:bCs/>
              </w:rPr>
              <w:t xml:space="preserve">Our FY27</w:t>
            </w:r>
          </w:p>
        </w:tc>
        <w:tc>
          <w:tcPr>
            <w:tcW w:type="dxa" w:w="5800"/>
          </w:tcPr>
          <w:p>
            <w:r>
              <w:t xml:space="preserve">Revenue ~Rs 800-880 Cr (full-year pure-play insulators + residual price lag); OPM ~16-17%; PAT ~Rs 115-140 Cr reported (lower if full tax is provided)</w:t>
            </w:r>
          </w:p>
        </w:tc>
      </w:tr>
      <w:tr>
        <w:tc>
          <w:tcPr>
            <w:tcW w:type="dxa" w:w="3200"/>
            <w:shd w:fill="F2F2F2" w:val="clear"/>
          </w:tcPr>
          <w:p>
            <w:r>
              <w:rPr>
                <w:b/>
                <w:bCs/>
              </w:rPr>
              <w:t xml:space="preserve">Our FY28</w:t>
            </w:r>
          </w:p>
        </w:tc>
        <w:tc>
          <w:tcPr>
            <w:tcW w:type="dxa" w:w="5800"/>
          </w:tcPr>
          <w:p>
            <w:r>
              <w:t xml:space="preserve">Flat-to-modest volume growth off a 100%-utilised base unless capacity is added; further margin gains limited; PAT ~Rs 130-170 Cr on current capacity -- the ~Rs 300 Cr figure requires an unannounced expansion</w:t>
            </w:r>
          </w:p>
        </w:tc>
      </w:tr>
      <w:tr>
        <w:tc>
          <w:tcPr>
            <w:tcW w:type="dxa" w:w="3200"/>
            <w:shd w:fill="F2F2F2" w:val="clear"/>
          </w:tcPr>
          <w:p>
            <w:r>
              <w:rPr>
                <w:b/>
                <w:bCs/>
              </w:rPr>
              <w:t xml:space="preserve">Gap direction</w:t>
            </w:r>
          </w:p>
        </w:tc>
        <w:tc>
          <w:tcPr>
            <w:tcW w:type="dxa" w:w="5800"/>
          </w:tcPr>
          <w:p>
            <w:r>
              <w:t xml:space="preserve">underestimated</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Four quarters of OPM stepping from ~10% to ~16-17% on realisation gains with a ~1-yr lag still flowing; a ~21x trailing / ~18x run-rate multiple prices only modest continuation. But management issues no guidance, the FY26 audit opinion is qualified, and the FY28 leg has no announced capex -- so the under-pricing is real for FY27 but hard to extrapolate.</w:t>
            </w:r>
          </w:p>
        </w:tc>
      </w:tr>
      <w:tr>
        <w:tc>
          <w:tcPr>
            <w:tcW w:type="dxa" w:w="3200"/>
            <w:shd w:fill="F2F2F2" w:val="clear"/>
          </w:tcPr>
          <w:p>
            <w:r>
              <w:rPr>
                <w:b/>
                <w:bCs/>
              </w:rPr>
              <w:t xml:space="preserve">Evidence quality</w:t>
            </w:r>
          </w:p>
        </w:tc>
        <w:tc>
          <w:tcPr>
            <w:tcW w:type="dxa" w:w="5800"/>
          </w:tcPr>
          <w:p>
            <w:r>
              <w:t xml:space="preserve">weak</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FY27 quarterly prints confirming the ~16-17% OPM holds, plus any capacity-expansion announcement (needed for a FY28 volume leg) and resolution of the Modern Denim amalgamation / qualified-opinion overhang</w:t>
      </w:r>
      <w:r>
        <w:rPr>
          <w:color w:val="666666"/>
          <w:sz w:val="18"/>
          <w:szCs w:val="18"/>
        </w:rPr>
        <w:t xml:space="preserve"> (window ~9M from 2026-09-03; undated; evidence med; pending)</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power T&amp;D grid build-out + insulator import-localisation</w:t>
            </w:r>
          </w:p>
        </w:tc>
      </w:tr>
      <w:tr>
        <w:tc>
          <w:tcPr>
            <w:tcW w:type="dxa" w:w="3200"/>
            <w:shd w:fill="F2F2F2" w:val="clear"/>
          </w:tcPr>
          <w:p>
            <w:r>
              <w:rPr>
                <w:b/>
                <w:bCs/>
              </w:rPr>
              <w:t xml:space="preserve">This company's position</w:t>
            </w:r>
          </w:p>
        </w:tc>
        <w:tc>
          <w:tcPr>
            <w:tcW w:type="dxa" w:w="5800"/>
          </w:tcPr>
          <w:p>
            <w:r>
              <w:t xml:space="preserve">one of two Indian porcelain (alumina) insulator makers up to 800kV -- duopoly with Hindusthan Insulators (HIIL)</w:t>
            </w:r>
          </w:p>
        </w:tc>
      </w:tr>
      <w:tr>
        <w:tc>
          <w:tcPr>
            <w:tcW w:type="dxa" w:w="3200"/>
            <w:shd w:fill="F2F2F2" w:val="clear"/>
          </w:tcPr>
          <w:p>
            <w:r>
              <w:rPr>
                <w:b/>
                <w:bCs/>
              </w:rPr>
              <w:t xml:space="preserve">Bottleneck node (pricing power)</w:t>
            </w:r>
          </w:p>
        </w:tc>
        <w:tc>
          <w:tcPr>
            <w:tcW w:type="dxa" w:w="5800"/>
          </w:tcPr>
          <w:p>
            <w:r>
              <w:t xml:space="preserve">porcelain-insulator manufacturing capacity -- legacy German technology, ~30 years no greenfield, 18-month lead times</w:t>
            </w:r>
          </w:p>
        </w:tc>
      </w:tr>
      <w:tr>
        <w:tc>
          <w:tcPr>
            <w:tcW w:type="dxa" w:w="3200"/>
            <w:shd w:fill="F2F2F2" w:val="clear"/>
          </w:tcPr>
          <w:p>
            <w:r>
              <w:rPr>
                <w:b/>
                <w:bCs/>
              </w:rPr>
              <w:t xml:space="preserve">Supply-side status</w:t>
            </w:r>
          </w:p>
        </w:tc>
        <w:tc>
          <w:tcPr>
            <w:tcW w:type="dxa" w:w="5800"/>
          </w:tcPr>
          <w:p>
            <w:r>
              <w:t xml:space="preserve">consolidating</w:t>
            </w:r>
          </w:p>
        </w:tc>
      </w:tr>
      <w:tr>
        <w:tc>
          <w:tcPr>
            <w:tcW w:type="dxa" w:w="3200"/>
            <w:shd w:fill="F2F2F2" w:val="clear"/>
          </w:tcPr>
          <w:p>
            <w:r>
              <w:rPr>
                <w:b/>
                <w:bCs/>
              </w:rPr>
              <w:t xml:space="preserve">Adjacent-node peers</w:t>
            </w:r>
          </w:p>
        </w:tc>
        <w:tc>
          <w:tcPr>
            <w:tcW w:type="dxa" w:w="5800"/>
          </w:tcPr>
          <w:p>
            <w:r>
              <w:t xml:space="preserve">Hindusthan Insulators (HIIL / IEC), Aditya Birla Insulators, BHEL (ceramic insulators), NGK / Seves (global)</w:t>
            </w:r>
          </w:p>
        </w:tc>
      </w:tr>
    </w:tbl>
    <w:p>
      <w:pPr>
        <w:spacing w:after="120"/>
      </w:pPr>
      <w:r>
        <w:rPr>
          <w:color w:val="666666"/>
          <w:sz w:val="18"/>
          <w:szCs w:val="18"/>
        </w:rPr>
        <w:t xml:space="preserve">Capital cycle is favourable to the incumbents: no domestic supply response is possible in the near term, so pricing power accrues to the two players through the grid-capex cycle. The risk is that the pricing is partly cyclical to that capex wave rather than permanent.</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realisation / price increases (+&gt;50% YoY) from a capacity-constrained duopoly; operating leverage on a fixed 26,000 MTPA base at ~100% utilisation; demand intensity from an unusually strong T&amp;D capex cycle (cyclical component).</w:t>
      </w:r>
    </w:p>
    <w:p>
      <w:pPr>
        <w:spacing w:after="120"/>
      </w:pPr>
      <w:r>
        <w:rPr>
          <w:color w:val="666666"/>
          <w:sz w:val="18"/>
          <w:szCs w:val="18"/>
        </w:rPr>
        <w:t xml:space="preserve">OPM has jumped from a ~10-11% through-cycle level to ~16-17%. The duopoly gives structural pricing power, but the magnitude of the recent step rides a tight grid-capex wave; a through-cycle margin is more likely ~13-15% than 17%. Reported PAT is also flattered by unprovided tax (~Rs 9 Cr/yr).</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YoY revenue growth oldest-&gt;newest (approx.): Q3FY25 ~+10%, Q4FY25 ~+25%, Q2FY26 ~+56%, Q3FY26 ~+60%, Q1FY27 ~+33-35%. PAT YoY: Q3FY26 +166%, Q1FY27 +79-94%. Growth accelerated through FY26 on price + demand; Q1FY27 moderated on a higher base but stayed 30%+.</w:t>
      </w:r>
    </w:p>
    <w:p>
      <w:pPr>
        <w:spacing w:after="120"/>
      </w:pPr>
      <w:r>
        <w:rPr>
          <w:color w:val="666666"/>
          <w:sz w:val="18"/>
          <w:szCs w:val="18"/>
        </w:rPr>
        <w:t xml:space="preserve">Reverse P/E: ~21x trailing needs ~12-18% EPS CAGR FY26-28 at an ~18-20x exit; the current run-rate implies materially more than that for FY27, so near-term growth outpaces what the multiple demands -- the constraint is FY28+ (capacity) and earnings quality (tax), not the near-term rate.</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Modest reinvestment despite a demand bottleneck; Rs 25 Cr routed to an external AIF (Buoyant Large Value Fund) rather than capacity; zero dividend; headline incremental ROCE optically high (~19% ROCE) but flattered by unprovided tax. Active group restructuring (Modern Polytex demerger, Modern Denim amalgamation).</w:t>
            </w:r>
          </w:p>
        </w:tc>
      </w:tr>
      <w:tr>
        <w:tc>
          <w:tcPr>
            <w:tcW w:type="dxa" w:w="3200"/>
            <w:shd w:fill="F2F2F2" w:val="clear"/>
          </w:tcPr>
          <w:p>
            <w:r>
              <w:rPr>
                <w:b/>
                <w:bCs/>
              </w:rPr>
              <w:t xml:space="preserve">Related-party trend</w:t>
            </w:r>
          </w:p>
        </w:tc>
        <w:tc>
          <w:tcPr>
            <w:tcW w:type="dxa" w:w="5800"/>
          </w:tcPr>
          <w:p>
            <w:r>
              <w:t xml:space="preserve">concerning</w:t>
            </w:r>
          </w:p>
        </w:tc>
      </w:tr>
      <w:tr>
        <w:tc>
          <w:tcPr>
            <w:tcW w:type="dxa" w:w="3200"/>
            <w:shd w:fill="F2F2F2" w:val="clear"/>
          </w:tcPr>
          <w:p>
            <w:r>
              <w:rPr>
                <w:b/>
                <w:bCs/>
              </w:rPr>
              <w:t xml:space="preserve">Guidance credibility</w:t>
            </w:r>
          </w:p>
        </w:tc>
        <w:tc>
          <w:tcPr>
            <w:tcW w:type="dxa" w:w="5800"/>
          </w:tcPr>
          <w:p>
            <w:r>
              <w:t xml:space="preserve">no-track-record</w:t>
            </w:r>
          </w:p>
        </w:tc>
      </w:tr>
      <w:tr>
        <w:tc>
          <w:tcPr>
            <w:tcW w:type="dxa" w:w="3200"/>
            <w:shd w:fill="F2F2F2" w:val="clear"/>
          </w:tcPr>
          <w:p>
            <w:r>
              <w:rPr>
                <w:b/>
                <w:bCs/>
              </w:rPr>
              <w:t xml:space="preserve">Capability ladder / VAP</w:t>
            </w:r>
          </w:p>
        </w:tc>
        <w:tc>
          <w:tcPr>
            <w:tcW w:type="dxa" w:w="5800"/>
          </w:tcPr>
          <w:p>
            <w:r>
              <w:t xml:space="preserve">—</w:t>
            </w:r>
          </w:p>
        </w:tc>
      </w:tr>
    </w:tbl>
    <w:p>
      <w:pPr>
        <w:pStyle w:val="Heading1"/>
        <w:spacing w:after="120" w:before="280"/>
      </w:pPr>
      <w:r>
        <w:t xml:space="preserve">Technical Read (Weekly / Monthly MACD + Bollinger Bands, or RSI/CCI/Williams %R proxy)</w:t>
      </w:r>
    </w:p>
    <w:p>
      <w:pPr>
        <w:spacing w:after="120"/>
      </w:pPr>
      <w:r>
        <w:t xml:space="preserve">Not checked this pass. Stock re-rated ~5-6x over the past year, then pulled back from a Rs 579 high to ~Rs 430.</w:t>
      </w:r>
    </w:p>
    <w:p>
      <w:pPr>
        <w:pStyle w:val="Heading1"/>
        <w:spacing w:after="120" w:before="280"/>
      </w:pPr>
      <w:r>
        <w:t xml:space="preserve">ValuePickr Community Signal</w:t>
      </w:r>
    </w:p>
    <w:p>
      <w:pPr>
        <w:spacing w:after="120"/>
      </w:pPr>
      <w:r>
        <w:t xml:space="preserve">Read most recent 50 of 84 posts (single batch, no escalation needed given a clear, consistent conviction narrative). Thread evolved from a single-stock discussion into a broader porcelain-insulator sector thread (Modern Insulators + Hindusthan Insulators/HIIL), driven heavily by trusted user RocketMan's structural-bottleneck thesis: CEA identified 73 T&amp;D components for import localization, porcelain insulator lead times are 18+ months, and no new entrant can easily build capacity (both incumbents used 30-year-old German-technology plants). Community documented rising realizations, near-tripled YoY gross profit, and continued capex.</w:t>
      </w:r>
    </w:p>
    <w:p>
      <w:pPr>
        <w:spacing w:after="120"/>
      </w:pPr>
      <w:r>
        <w:rPr>
          <w:b/>
          <w:bCs/>
          <w:sz w:val="20"/>
          <w:szCs w:val="20"/>
        </w:rPr>
        <w:t xml:space="preserve">High-conviction call from a top contributor: </w:t>
      </w:r>
      <w:r>
        <w:rPr>
          <w:sz w:val="20"/>
          <w:szCs w:val="20"/>
        </w:rPr>
        <w:t xml:space="preserve">RocketMan (trusted, elevated-tier) is the thread's anchor voice across ~15 posts (love scores up to 10), stating he is personally invested in both porcelain-insulator names and providing specific PAT math. However, multiple posters (Prabhat_Mohanty, anjeshv4, deepakreads) raised real governance concerns: management refuses investor calls/concalls, persistent 'word on the street' rumors of under-reported income, and a puzzling Rs 25 Cr allocation to an AIF fund instead of larger capex -- RocketMan himself acknowledged the under-reporting rumor as 'a well known fact in the industry' though unverified. The deep-dive corroborated the AIF (Rs 25 Cr into Buoyant Large Value Fund, board-approved 26 Jun 2026) and surfaced a new item: the FY26 qualified audit opinion on deferred tax.</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2026-06-09 — undefined</w:t>
      </w:r>
      <w:r>
        <w:rPr>
          <w:i/>
          <w:iCs/>
          <w:color w:val="666666"/>
          <w:sz w:val="18"/>
          <w:szCs w:val="18"/>
        </w:rPr>
        <w:t xml:space="preserve"/>
      </w:r>
      <w:r>
        <w:rPr>
          <w:sz w:val="20"/>
          <w:szCs w:val="20"/>
        </w:rPr>
        <w:br/>
        <w:t xml:space="preserve">: Notes insulator prices up &gt;50% YoY with a ~1-year lag before showing up in reported margins -- implies further margin upside still to come through.</w:t>
      </w:r>
    </w:p>
    <w:p>
      <w:pPr>
        <w:spacing w:after="100"/>
      </w:pPr>
      <w:r>
        <w:rPr>
          <w:b/>
          <w:bCs/>
          <w:sz w:val="20"/>
          <w:szCs w:val="20"/>
        </w:rPr>
        <w:t xml:space="preserve">2026-07-21 — undefined</w:t>
      </w:r>
      <w:r>
        <w:rPr>
          <w:i/>
          <w:iCs/>
          <w:color w:val="666666"/>
          <w:sz w:val="18"/>
          <w:szCs w:val="18"/>
        </w:rPr>
        <w:t xml:space="preserve"/>
      </w:r>
      <w:r>
        <w:rPr>
          <w:sz w:val="20"/>
          <w:szCs w:val="20"/>
        </w:rPr>
        <w:br/>
        <w:t xml:space="preserve">: Projects PAT run-rate ~Rs 140 Cr FY27 rising to ~Rs 300 Cr FY28 post-capex on 'mind-boggling' Q1 results; states he is personally invested in both porcelain-insulator companies.</w:t>
      </w:r>
    </w:p>
    <w:p>
      <w:pPr>
        <w:pStyle w:val="Heading1"/>
        <w:spacing w:after="120" w:before="280"/>
      </w:pPr>
      <w:r>
        <w:t xml:space="preserve">BSE Corporate Actions / Other Red Flags</w:t>
      </w:r>
    </w:p>
    <w:p>
      <w:pPr>
        <w:spacing w:after="120"/>
      </w:pPr>
      <w:r>
        <w:t xml:space="preserve">Q1 FY27 results 10 Aug 2026 (rev ~Rs 198 Cr, PAT ~Rs 29.6 Cr). Credit-rating filing 20 Aug 2026 (CRISIL A-/Stable; facilities to Rs 165 Cr). Rs 25 Cr investment in Buoyant Large Value Fund board-approved 26 Jun 2026. Yarn division demerged into Modern Polytex Ltd effective 31 Oct 2025. NCLT petition on Modern Denim amalgamation disposed 22 Jan 2026, scheme still pending. No order-win, fund-raise, pledge, or KMP/auditor-change announcements found in the last 6 months.</w:t>
      </w:r>
    </w:p>
    <w:p>
      <w:pPr>
        <w:pStyle w:val="Heading1"/>
        <w:spacing w:after="120" w:before="280"/>
      </w:pPr>
      <w:r>
        <w:t xml:space="preserve">Bull Case</w:t>
      </w:r>
    </w:p>
    <w:p>
      <w:pPr>
        <w:pStyle w:val="ListParagraph"/>
        <w:numPr>
          <w:ilvl w:val="0"/>
          <w:numId w:val="1"/>
        </w:numPr>
        <w:spacing w:after="60"/>
      </w:pPr>
      <w:r>
        <w:t xml:space="preserve">Structural, multi-year supply bottleneck (no viable new capacity for ~30 years) colliding with a real demand upcycle (grid build-out, CEA import-localization push), evidenced by 100% capacity utilization and &gt;50% YoY price increases</w:t>
      </w:r>
    </w:p>
    <w:p>
      <w:pPr>
        <w:pStyle w:val="ListParagraph"/>
        <w:numPr>
          <w:ilvl w:val="0"/>
          <w:numId w:val="1"/>
        </w:numPr>
        <w:spacing w:after="60"/>
      </w:pPr>
      <w:r>
        <w:t xml:space="preserve">Live margin inflection now in the printed numbers: OPM up from ~10% to ~16-17% across four quarters with a ~1-yr price lag still flowing; Q1 FY27 PAT annualises to ~Rs 115-120 Cr, ~18x forward on a ~Rs 2,000-2,300 Cr cap</w:t>
      </w:r>
    </w:p>
    <w:p>
      <w:pPr>
        <w:pStyle w:val="ListParagraph"/>
        <w:numPr>
          <w:ilvl w:val="0"/>
          <w:numId w:val="1"/>
        </w:numPr>
        <w:spacing w:after="60"/>
      </w:pPr>
      <w:r>
        <w:t xml:space="preserve">Now a clean pure-play insulator company post the Modern Polytex yarn demerger; CRISIL upgrade to A-/Stable and enhanced bank lines show lender confidence</w:t>
      </w:r>
    </w:p>
    <w:p>
      <w:pPr>
        <w:pStyle w:val="Heading1"/>
        <w:spacing w:after="120" w:before="280"/>
      </w:pPr>
      <w:r>
        <w:t xml:space="preserve">Bear Case / Key Risks</w:t>
      </w:r>
    </w:p>
    <w:p>
      <w:pPr>
        <w:pStyle w:val="ListParagraph"/>
        <w:numPr>
          <w:ilvl w:val="0"/>
          <w:numId w:val="1"/>
        </w:numPr>
        <w:spacing w:after="60"/>
      </w:pPr>
      <w:r>
        <w:t xml:space="preserve">FY26 accounts carry a QUALIFIED audit opinion -- taxation not provided (cumulative ~Rs 127.8 Cr) pending the Modern Denim amalgamation; reported PAT is overstated vs fully-taxed earnings and points to an aggressive accounting posture</w:t>
      </w:r>
    </w:p>
    <w:p>
      <w:pPr>
        <w:pStyle w:val="ListParagraph"/>
        <w:numPr>
          <w:ilvl w:val="0"/>
          <w:numId w:val="1"/>
        </w:numPr>
        <w:spacing w:after="60"/>
      </w:pPr>
      <w:r>
        <w:t xml:space="preserve">Governance opacity: no investor calls/concalls, persistent unverified income under-reporting rumors, zero dividend, and Rs 25 Cr routed into an external AIF (Buoyant Large Value Fund) rather than capacity despite running at 100% utilisation</w:t>
      </w:r>
    </w:p>
    <w:p>
      <w:pPr>
        <w:pStyle w:val="ListParagraph"/>
        <w:numPr>
          <w:ilvl w:val="0"/>
          <w:numId w:val="1"/>
        </w:numPr>
        <w:spacing w:after="60"/>
      </w:pPr>
      <w:r>
        <w:t xml:space="preserve">The widely-cited ~Rs 300 Cr FY28 PAT needs a capacity expansion that has NOT been announced anywhere -- the second earnings leg is an assumption; and the stock has already re-rated ~5-6x</w:t>
      </w:r>
    </w:p>
    <w:p>
      <w:pPr>
        <w:pStyle w:val="ListParagraph"/>
        <w:numPr>
          <w:ilvl w:val="0"/>
          <w:numId w:val="1"/>
        </w:numPr>
        <w:spacing w:after="60"/>
      </w:pPr>
      <w:r>
        <w:t xml:space="preserve">Current margins may be riding an unusually tight T&amp;D capex cycle; if grid ordering cools, realisation gains normalise</w:t>
      </w:r>
    </w:p>
    <w:p>
      <w:pPr>
        <w:pStyle w:val="Heading1"/>
        <w:spacing w:after="120" w:before="280"/>
      </w:pPr>
      <w:r>
        <w:t xml:space="preserve">Market-Cap Tier (informational — not a gate in this project)</w:t>
      </w:r>
    </w:p>
    <w:p>
      <w:pPr>
        <w:spacing w:after="120"/>
      </w:pPr>
      <w:r>
        <w:rPr>
          <w:b/>
          <w:bCs/>
        </w:rPr>
        <w:t xml:space="preserve">Small-cap (~Rs 2,100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Real bottleneck story with a live, printed margin inflection -- but a fresh qualified audit opinion and zero investor engagement keep conviction at Medium</w:t>
      </w:r>
    </w:p>
    <w:p>
      <w:pPr>
        <w:pStyle w:val="ListParagraph"/>
        <w:numPr>
          <w:ilvl w:val="0"/>
          <w:numId w:val="1"/>
        </w:numPr>
        <w:spacing w:after="60"/>
      </w:pPr>
      <w:r>
        <w:t xml:space="preserve">Small-cap size, a rare hard-to-replicate duopoly supply constraint, four quarters of realisation-driven margin step-up, and a still-undemanding forward multiple keep a 2-3 year multibagger path open on the near-term (FY27) leg even after the run-up already seen</w:t>
      </w:r>
    </w:p>
    <w:p>
      <w:pPr>
        <w:pStyle w:val="ListParagraph"/>
        <w:numPr>
          <w:ilvl w:val="0"/>
          <w:numId w:val="1"/>
        </w:numPr>
        <w:spacing w:after="60"/>
      </w:pPr>
      <w:r>
        <w:t xml:space="preserve">The FY26 qualified audit opinion on deferred tax (new this pass), no concalls/investor communication, the odd AIF allocation, and the absence of any announced capacity expansion for the FY28 leg are real, partly newly-corroborated concerns that cap conviction below the pure growth math -- moved Medium-High -&gt; Medium</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2026-09-03T16:52:24.487Z</dcterms:created>
  <dcterms:modified xsi:type="dcterms:W3CDTF">2026-09-03T16:52:24.493Z</dcterms:modified>
</cp:coreProperties>
</file>

<file path=docProps/custom.xml><?xml version="1.0" encoding="utf-8"?>
<Properties xmlns="http://schemas.openxmlformats.org/officeDocument/2006/custom-properties" xmlns:vt="http://schemas.openxmlformats.org/officeDocument/2006/docPropsVTypes"/>
</file>