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Modi Naturals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 on paper edible-oil-and-ethanol play, but industry-wide ethanol overcapacity and stalled FMCG growth make the cheapness look earned rather than mispriced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Modi Naturals is an FMCG edible-oils company (3rd largest premium edible oil brand, known for rice bran oil) diversifying into renewable energy/ethanol production. It has 282 KLPD of installed ethanol capacity, with revenue and profitability upside contingent on winning government ethanol-blending tenders and ramping utilization.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18.7% / 29.2%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12.9x (headline); community estimates as low as 3.7x on full ethanol capacity utilization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management target</w:t>
            </w:r>
          </w:p>
        </w:tc>
        <w:tc>
          <w:tcPr>
            <w:tcW w:type="dxa" w:w="5800"/>
          </w:tcPr>
          <w:p>
            <w:r>
              <w:t xml:space="preserve">Rs 900-950 Cr topline, Rs 60-70 Cr PAT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development</w:t>
            </w:r>
          </w:p>
        </w:tc>
        <w:tc>
          <w:tcPr>
            <w:tcW w:type="dxa" w:w="5800"/>
          </w:tcPr>
          <w:p>
            <w:r>
              <w:t xml:space="preserve">New Rs 140 Cr ethanol order (Oct 2026 realization) at meaningfully lower Rs/litre realization than a prior Rs 400 Cr order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ROE (29.2%) and ROCE (18.7%) look strong, and the stock trades cheaply at 12.9x P/E - or as low as ~3.7x if the full 282 KLPD ethanol capacity were utilized at good realizations, per community back-of-envelope math. But that scenario depends entirely on winning enough ethanol tenders at good pricing, and the most recent order (Rs 140 Cr, disclosed today 2026-08-22) came in at a materially lower Rs/litre realization than an earlier Rs 400 Cr order, meaning single-digit EBITDA margins on the incremental volume - a real headwind to the bull case's core assumption.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28-post thread (single batch; thread mostly dormant 2020-2025, active discussion only in the last ~8 posts) spanning June 2020 to August 2026 (with a large gap in between). The only substantive, current discussion is from July-August 2026, where community members debated why the market isn't rewarding recent 'good results' with a higher valuation, converging on ethanol industry-wide overcapacity (every player adding capacity simultaneously) and a lack of visible FMCG segment growth (down 4% YoY) as the likely reasons.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in this thread. navneet_kumar provided the most substantive bear-case pushback (Aug 2026), noting the Bulk segment (Rs 100 Cr of topline) runs near-zero EBITDA margin, that ethanol growth depends entirely on tender wins (not guaranteed), and that FMCG segment upside is capped since the branded products are already in a premium niche that 'can't expand exponentially.' Aditya_Talwar and Shubhanshu_Vyas both expressed frustration that the market isn't rewarding good results, but Aditya_Talwar himself flagged 'ethanol blending is in major overcapacity right now... and overcapacity is increasing' as the key reason. django's post today (2026-08-22) flagged the new Rs 140 Cr order's lower realization as 'bittersweet.'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headline valuation (12.9x P/E) with a scenario-based case for much cheaper (~3.7x) if ethanol capacity utilization ramps meaningfully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Established, well-recognized FMCG brand position (3rd largest premium edible oil brand) provides a stable earnings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282 KLPD of already-built ethanol capacity gives real optionality if tender wins accelerate and pricing 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management guidance of Rs 900-950 Cr topline / Rs 60-70 Cr PAT, if achieved, would be a meaningful step up from current levels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Industry-wide ethanol overcapacity, explicitly flagged by two separate community members as worsening (every player adding capacity simultaneously) - directly undermines the bull case's core pricing/utilization assumption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recent Rs 140 Cr ethanol order (disclosed 2026-08-22) came in at a lower Rs/litre realization than the prior Rs 400 Cr order, implying single-digit EBITDA margins on this incremental volume - a live, current example of the pricing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FMCG segment (the higher-margin, more differentiated part of the business) is down 4% YoY with community skepticism that the premium niche 'can't expand exponentially'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 segment (Rs 100 Cr of topline) runs near-zero EBITDA margin, diluting blended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(Rs 900-950 Cr topline, Rs 60-70 Cr PAT) implies only modest growth from current levels - not the kind of explosive trajectory that supports a 10x case from a Rs 500 Cr base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for a reason - ethanol overcapacity and stalled FMCG growth undercut the value case, not just market inattention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valuation is genuinely low, but the community's own most recent, dated evidence (today's Rs 140 Cr order at compressed realization) confirms the ethanol-overcapacity concern is live and current, not hypothetical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FMCG growth (the differentiated, higher-margin part of the business) is actually declining (-4% YoY), removing the other potential growth lever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management guidance itself implies only modest growth - there is no confirmed, specific catalyst here strong enough to support a 10x case; this looks like a genuine value trap risk rather than a mispriced compounder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2026-08-22T08:14:52.121Z</dcterms:created>
  <dcterms:modified xsi:type="dcterms:W3CDTF">2026-08-22T08:14:52.122Z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