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National Aluminium Company Ltd (NALCO)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best-in-class low-cost PSU alumina/aluminium producer taking on its first major debt for a Rs 30,000 Cr capex plan, against genuinely cyclical commodity prices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NALCO is a Navaratna PSU and one of India's largest integrated bauxite-alumina-aluminium-power complexes, widely regarded (per community discussion citing bauxite quality/temperature-efficiency advantages) as the lowest-cost global alumina producer.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79,444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33.66% / 26.83%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Q1 FY26-27 net sales +39.3% YoY to Rs 5,302.4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Prior quarter</w:t>
            </w:r>
          </w:p>
        </w:tc>
        <w:tc>
          <w:tcPr>
            <w:tcW w:type="dxa" w:w="5800"/>
          </w:tcPr>
          <w:p>
            <w:r>
              <w:t xml:space="preserve">Q4FY26 (per community, May 2026): Revenue -5%, EBITDA -12%, PAT -17%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Historically debt-free; now planning ~Rs 30,000 Cr capex (Rs 17,000 Cr aluminium + Rs 13,000 Cr power JV with NTPC) likely funded partly by new debt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There is a genuine recent-quarter inflection worth flagging per this project's own 'don't hide an inflection' rule: Q4FY26 (reported May 2026) was weak YoY (revenue -5%, EBITDA -12%, PAT -17%), but the very next quarter (Q1 FY27, per screener data) rebounded sharply to +39.3% YoY revenue growth. This is a real swing, not a smooth trend, and reflects genuine alumina/aluminium price cyclicality (Indonesian/Middle East smelter delays cited by the community as a driver) rather than a clean structural improvement. Separately, NALCO is moving from a historically debt-free PSU to one funding a large (~Rs 30,000 Cr) capex program that will likely require meaningful new debt for the first time.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98 posts (Apr 2021-May 2026, no escalation needed). The community has tracked this closely for years: bauxite/alumina quality advantages (2024 comparison thread vs Hindalco showing NALCO's superior multi-year ROCE), a 2025 US-tariff-driven aluminium price scare (stock fell 6%+, Apr 2025), and the newly announced large capex plan (Feb 2025) which one member explicitly flagged as requiring 'massive debt' for a PSU with no recent precedent of managing capex at this scale.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(elevated) posted detailed, consistent quarterly result summaries (Q4/FY26, May 2026) with an analytical, non-promotional tone -- no differentiated conviction call, consistent with his floor_active: False status for this entry.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low-cost producer (superior bauxite quality lowers alumina-conversion energy needs) with a multi-year ROCE track record superior to peers like Hindalco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real, quantified Q1FY27 revenue rebound (+39.3% YoY) after a weak Q4FY26, if it sustains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funded capex program (Rs 30,000 Cr) is a genuine growth catalyst, not just maintenance capex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cyclical commodity exposure -- alumina/aluminium prices swing on Indonesian/Middle East supply and US tariff/global-slowdown risk, as shown by the sharp Q4FY26-to-Q1FY27 swing itself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Moving from debt-free to meaningfully levered for the first time to fund the new capex -- a real balance-sheet regime change for a PSU with no track record managing debt-funded capex at this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(Rs 79,444 Cr) is already fairly large, needing a genuinely exceptional execution outcome to deliver a 10x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Mid/Large-cap (~Rs 79,444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best-in-class low-cost operator with a real recent-quarter rebound, but size, new leverage, and genuine commodity cyclicality outweigh the case for a multibagger thesis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Q1FY27 rebound is real and worth tracking, but it followed an equally real Q4FY26 decline in the same six months -- this is cyclicality, not a clean structural inflection, and doesn't override the size/catalyst threshold on its 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flag, but the shift to debt-funded capex for the first time is a genuine regime change worth monitoring rather than an unambiguous positive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per the standard rule for a mid/large-cap commodity name without a decisively confirmed inflection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2026-08-23T16:11:22.788Z</dcterms:created>
  <dcterms:modified xsi:type="dcterms:W3CDTF">2026-08-23T16:11:22.789Z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