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NGL Fine-Chem Ltd</w:t>
      </w:r>
    </w:p>
    <w:p>
      <w:pPr>
        <w:pBdr>
          <w:bottom w:val="single" w:color="CCCCCC" w:sz="6" w:space="8"/>
        </w:pBdr>
        <w:spacing w:after="200"/>
      </w:pPr>
      <w:r>
        <w:rPr>
          <w:i/>
          <w:iCs/>
          <w:color w:val="666666"/>
          <w:sz w:val="22"/>
          <w:szCs w:val="22"/>
        </w:rPr>
        <w:t xml:space="preserve">Conservative, debt-light veterinary/human-pharma intermediate maker with a long, high-quality community track record, currently in a cyclical margin trough</w:t>
      </w:r>
    </w:p>
    <w:p>
      <w:pPr>
        <w:pStyle w:val="Heading1"/>
        <w:spacing w:after="120" w:before="280"/>
      </w:pPr>
      <w:r>
        <w:t xml:space="preserve">Business Overview</w:t>
      </w:r>
    </w:p>
    <w:p>
      <w:pPr>
        <w:spacing w:after="120"/>
      </w:pPr>
      <w:r>
        <w:t xml:space="preserve">NGL Fine-Chem manufactures and exports pharmaceutical/veterinary intermediates and formulations, with capacity expansion through its Macrotech Polychem subsidiary.</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1,861 Cr</w:t>
            </w:r>
          </w:p>
        </w:tc>
      </w:tr>
      <w:tr>
        <w:tc>
          <w:tcPr>
            <w:tcW w:type="dxa" w:w="3200"/>
            <w:shd w:fill="F2F2F2" w:val="clear"/>
          </w:tcPr>
          <w:p>
            <w:r>
              <w:rPr>
                <w:b/>
                <w:bCs/>
              </w:rPr>
              <w:t xml:space="preserve">ROCE / ROE</w:t>
            </w:r>
          </w:p>
        </w:tc>
        <w:tc>
          <w:tcPr>
            <w:tcW w:type="dxa" w:w="5800"/>
          </w:tcPr>
          <w:p>
            <w:r>
              <w:t xml:space="preserve">16.7% / 15.6%</w:t>
            </w:r>
          </w:p>
        </w:tc>
      </w:tr>
      <w:tr>
        <w:tc>
          <w:tcPr>
            <w:tcW w:type="dxa" w:w="3200"/>
            <w:shd w:fill="F2F2F2" w:val="clear"/>
          </w:tcPr>
          <w:p>
            <w:r>
              <w:rPr>
                <w:b/>
                <w:bCs/>
              </w:rPr>
              <w:t xml:space="preserve">Debt/Equity</w:t>
            </w:r>
          </w:p>
        </w:tc>
        <w:tc>
          <w:tcPr>
            <w:tcW w:type="dxa" w:w="5800"/>
          </w:tcPr>
          <w:p>
            <w:r>
              <w:t xml:space="preserve">17.6% (low)</w:t>
            </w:r>
          </w:p>
        </w:tc>
      </w:tr>
      <w:tr>
        <w:tc>
          <w:tcPr>
            <w:tcW w:type="dxa" w:w="3200"/>
            <w:shd w:fill="F2F2F2" w:val="clear"/>
          </w:tcPr>
          <w:p>
            <w:r>
              <w:rPr>
                <w:b/>
                <w:bCs/>
              </w:rPr>
              <w:t xml:space="preserve">Revenue CAGR</w:t>
            </w:r>
          </w:p>
        </w:tc>
        <w:tc>
          <w:tcPr>
            <w:tcW w:type="dxa" w:w="5800"/>
          </w:tcPr>
          <w:p>
            <w:r>
              <w:t xml:space="preserve">18.75% vs 5.35% industry median</w:t>
            </w:r>
          </w:p>
        </w:tc>
      </w:tr>
      <w:tr>
        <w:tc>
          <w:tcPr>
            <w:tcW w:type="dxa" w:w="3200"/>
            <w:shd w:fill="F2F2F2" w:val="clear"/>
          </w:tcPr>
          <w:p>
            <w:r>
              <w:rPr>
                <w:b/>
                <w:bCs/>
              </w:rPr>
              <w:t xml:space="preserve">52-week range</w:t>
            </w:r>
          </w:p>
        </w:tc>
        <w:tc>
          <w:tcPr>
            <w:tcW w:type="dxa" w:w="5800"/>
          </w:tcPr>
          <w:p>
            <w:r>
              <w:t xml:space="preserve">Rs 1,261 - 3,602</w:t>
            </w:r>
          </w:p>
        </w:tc>
      </w:tr>
    </w:tbl>
    <w:p>
      <w:pPr>
        <w:spacing w:after="100"/>
      </w:pPr>
    </w:p>
    <w:p>
      <w:pPr>
        <w:spacing w:after="120"/>
      </w:pPr>
      <w:r>
        <w:t xml:space="preserve">Well above-industry revenue growth with conservative leverage, but currently in a margin trough from raw-material/pricing pressure -- a cyclical business run by a promoter the community consistently describes as conservative and rational through cycles.</w:t>
      </w:r>
    </w:p>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Read the most recent 50 of 295 posts (single batch, spanning Nov 2021-Feb 2025, no escalation needed). This is one of the deepest, highest-quality threads in this batch -- consistent detailed concall notes from multiple well-loved posters (T11, ayushmit, DEBASHISH, YachnaBhatia) across 2021-2025, with ayushmit's Jan 2022 retrospective earning 58 loves. Sentiment cycled from margin pressure (2021-2022, RM/freight costs) to a strong 2024 recovery (T11 and ayushmit both flagged 'two consecutive quarters of comparatively better results,' 29 and 28 loves respectively) to renewed pricing pressure by Feb 2025 ('washout quarter,' gross margins 55%-&gt;46%). harsh.beria93 (trusted) posted Nov 2024 concall notes describing the operating environment as 'challenging, high competition and lower prices.'</w:t>
      </w:r>
    </w:p>
    <w:p>
      <w:pPr>
        <w:spacing w:after="120"/>
      </w:pPr>
      <w:r>
        <w:rPr>
          <w:b/>
          <w:bCs/>
          <w:sz w:val="20"/>
          <w:szCs w:val="20"/>
        </w:rPr>
        <w:t xml:space="preserve">High-conviction call from a top contributor: </w:t>
      </w:r>
      <w:r>
        <w:rPr>
          <w:sz w:val="20"/>
          <w:szCs w:val="20"/>
        </w:rPr>
        <w:t xml:space="preserve">T11 (trusted, elevated) and ayushmit (not on the trust roster but the single most-loved poster in the thread, 58 loves) both track this stock closely across cycles; T11's Feb 2024 recovery call (29 loves) and harsh.beria93's Nov 2024 notes are the most recent trusted-roster data points.</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2024-02-17 — T11</w:t>
      </w:r>
      <w:r>
        <w:rPr>
          <w:i/>
          <w:iCs/>
          <w:color w:val="666666"/>
          <w:sz w:val="18"/>
          <w:szCs w:val="18"/>
        </w:rPr>
        <w:t xml:space="preserve"> (NGL Fine-Chem)</w:t>
      </w:r>
      <w:r>
        <w:rPr>
          <w:sz w:val="20"/>
          <w:szCs w:val="20"/>
        </w:rPr>
        <w:br/>
        <w:t xml:space="preserve">: Two consecutive quarters of comparatively better results after a prolonged phase of subdued revenue and margins.</w:t>
      </w:r>
    </w:p>
    <w:p>
      <w:pPr>
        <w:spacing w:after="100"/>
      </w:pPr>
      <w:r>
        <w:rPr>
          <w:b/>
          <w:bCs/>
          <w:sz w:val="20"/>
          <w:szCs w:val="20"/>
        </w:rPr>
        <w:t xml:space="preserve">2024-11-17 — harsh.beria93</w:t>
      </w:r>
      <w:r>
        <w:rPr>
          <w:i/>
          <w:iCs/>
          <w:color w:val="666666"/>
          <w:sz w:val="18"/>
          <w:szCs w:val="18"/>
        </w:rPr>
        <w:t xml:space="preserve"> (NGL Fine-Chem)</w:t>
      </w:r>
      <w:r>
        <w:rPr>
          <w:sz w:val="20"/>
          <w:szCs w:val="20"/>
        </w:rPr>
        <w:br/>
        <w:t xml:space="preserve">: Q2 concall notes: operating environment is challenging, high competition and lower prices.</w:t>
      </w:r>
    </w:p>
    <w:p>
      <w:pPr>
        <w:pStyle w:val="Heading1"/>
        <w:spacing w:after="120" w:before="280"/>
      </w:pPr>
      <w:r>
        <w:t xml:space="preserve">BSE Corporate Actions / Other Red Flags</w:t>
      </w:r>
    </w:p>
    <w:p>
      <w:pPr>
        <w:spacing w:after="120"/>
      </w:pPr>
      <w:r>
        <w:t xml:space="preserve">Not independently checked.</w:t>
      </w:r>
    </w:p>
    <w:p>
      <w:pPr>
        <w:pStyle w:val="Heading1"/>
        <w:spacing w:after="120" w:before="280"/>
      </w:pPr>
      <w:r>
        <w:t xml:space="preserve">Bull Case</w:t>
      </w:r>
    </w:p>
    <w:p>
      <w:pPr>
        <w:pStyle w:val="ListParagraph"/>
        <w:numPr>
          <w:ilvl w:val="0"/>
          <w:numId w:val="1"/>
        </w:numPr>
        <w:spacing w:after="60"/>
      </w:pPr>
      <w:r>
        <w:t xml:space="preserve">Revenue CAGR (18.75%) well above industry median (5.35%), with conservative, low leverage (D/E 17.6%)</w:t>
      </w:r>
    </w:p>
    <w:p>
      <w:pPr>
        <w:pStyle w:val="ListParagraph"/>
        <w:numPr>
          <w:ilvl w:val="0"/>
          <w:numId w:val="1"/>
        </w:numPr>
        <w:spacing w:after="60"/>
      </w:pPr>
      <w:r>
        <w:t xml:space="preserve">Deep, multi-year, high-quality community coverage from repeat trusted/well-loved trackers, corroborating a genuine long-term compounding story through cycles</w:t>
      </w:r>
    </w:p>
    <w:p>
      <w:pPr>
        <w:pStyle w:val="ListParagraph"/>
        <w:numPr>
          <w:ilvl w:val="0"/>
          <w:numId w:val="1"/>
        </w:numPr>
        <w:spacing w:after="60"/>
      </w:pPr>
      <w:r>
        <w:t xml:space="preserve">Promoter consistently described by long-time trackers as conservative and rational, slowing capex/debt when conditions are tough</w:t>
      </w:r>
    </w:p>
    <w:p>
      <w:pPr>
        <w:pStyle w:val="ListParagraph"/>
        <w:numPr>
          <w:ilvl w:val="0"/>
          <w:numId w:val="1"/>
        </w:numPr>
        <w:spacing w:after="60"/>
      </w:pPr>
      <w:r>
        <w:t xml:space="preserve">2024 showed a real margin-recovery quarter before the most recent (Feb 2025) pressure resumed -- a cyclical, not structural, pattern per the thread's own history</w:t>
      </w:r>
    </w:p>
    <w:p>
      <w:pPr>
        <w:pStyle w:val="Heading1"/>
        <w:spacing w:after="120" w:before="280"/>
      </w:pPr>
      <w:r>
        <w:t xml:space="preserve">Bear Case / Key Risks</w:t>
      </w:r>
    </w:p>
    <w:p>
      <w:pPr>
        <w:pStyle w:val="ListParagraph"/>
        <w:numPr>
          <w:ilvl w:val="0"/>
          <w:numId w:val="1"/>
        </w:numPr>
        <w:spacing w:after="60"/>
      </w:pPr>
      <w:r>
        <w:t xml:space="preserve">Currently in a margin trough (gross margins 55%-&gt;46% by Feb 2025) from pricing/competitive pressure, confirmed independently by both a trusted tracker (harsh.beria93, Nov 2024) and the thread's most-loved poster</w:t>
      </w:r>
    </w:p>
    <w:p>
      <w:pPr>
        <w:pStyle w:val="ListParagraph"/>
        <w:numPr>
          <w:ilvl w:val="0"/>
          <w:numId w:val="1"/>
        </w:numPr>
        <w:spacing w:after="60"/>
      </w:pPr>
      <w:r>
        <w:t xml:space="preserve">Business is genuinely cyclical -- margin swings have repeated at least twice (2021-22, 2025) in the thread's history</w:t>
      </w:r>
    </w:p>
    <w:p>
      <w:pPr>
        <w:pStyle w:val="ListParagraph"/>
        <w:numPr>
          <w:ilvl w:val="0"/>
          <w:numId w:val="1"/>
        </w:numPr>
        <w:spacing w:after="60"/>
      </w:pPr>
      <w:r>
        <w:t xml:space="preserve">Growing competition and lower realized prices flagged as an ongoing, not resolved, dynamic as of the most recent posts read</w:t>
      </w:r>
    </w:p>
    <w:p>
      <w:pPr>
        <w:pStyle w:val="Heading1"/>
        <w:spacing w:after="120" w:before="280"/>
      </w:pPr>
      <w:r>
        <w:t xml:space="preserve">Market-Cap Tier (informational — not a gate in this project)</w:t>
      </w:r>
    </w:p>
    <w:p>
      <w:pPr>
        <w:spacing w:after="120"/>
      </w:pPr>
      <w:r>
        <w:rPr>
          <w:b/>
          <w:bCs/>
        </w:rPr>
        <w:t xml:space="preserve">Small/Mid-cap (~Rs 1,861 Cr)</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High-quality compounder in a cyclical margin trough -- the community's own history says this pattern has recovered before</w:t>
      </w:r>
    </w:p>
    <w:p>
      <w:pPr>
        <w:pStyle w:val="ListParagraph"/>
        <w:numPr>
          <w:ilvl w:val="0"/>
          <w:numId w:val="1"/>
        </w:numPr>
        <w:spacing w:after="60"/>
      </w:pPr>
      <w:r>
        <w:t xml:space="preserve">Unusually deep and consistent multi-year community scrutiny (multiple trusted/well-loved trackers) corroborates both the long-term growth story and the current cyclical pressure -- this is a well-understood, not opaque, situation</w:t>
      </w:r>
    </w:p>
    <w:p>
      <w:pPr>
        <w:pStyle w:val="ListParagraph"/>
        <w:numPr>
          <w:ilvl w:val="0"/>
          <w:numId w:val="1"/>
        </w:numPr>
        <w:spacing w:after="60"/>
      </w:pPr>
      <w:r>
        <w:t xml:space="preserve">The current margin trough is confirmed as recent (as of Feb 2025) rather than resolved, which keeps conviction at Medium rather than higher until a recovery print is confirmed</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2026-08-23T15:14:48.176Z</dcterms:created>
  <dcterms:modified xsi:type="dcterms:W3CDTF">2026-08-23T15:14:48.177Z</dcterms:modified>
</cp:coreProperties>
</file>

<file path=docProps/custom.xml><?xml version="1.0" encoding="utf-8"?>
<Properties xmlns="http://schemas.openxmlformats.org/officeDocument/2006/custom-properties" xmlns:vt="http://schemas.openxmlformats.org/officeDocument/2006/docPropsVTypes"/>
</file>