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NMDC Steel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stalled 'privatization events play' -- early optimism cooled with no recent forum activity or confirmed catalyst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NMDC Steel operates an integrated steel plant demerged from NMDC in 2022, commissioned in October 2023; the original investment thesis (2023) centered on a potential government privatization/sale process rather than pure operating performance.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11,708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-8.86% / -15.73% (loss-making, still ramping)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~85.4%/yr average (early-stage ramp), but earnings declining ~25.3%/yr average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Debt-to-equity ~0.45, reduced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</w:t>
            </w:r>
          </w:p>
        </w:tc>
        <w:tc>
          <w:tcPr>
            <w:tcW w:type="dxa" w:w="5800"/>
          </w:tcPr>
          <w:p>
            <w:r>
              <w:t xml:space="preserve">Recent trading cluster around Rs 44-46 (partial data)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Still unprofitable at both the ROE and ROCE level as the plant continues its post-commissioning ramp-up (commissioned Oct 2023); revenue is growing rapidly off a low base but earnings have not followed, consistent with an early-stage, capital-intensive steel ramp rather than a confirmed turnaround.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charted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49 of 52 fetched posts (2023-05 to 2025-06), single batch (first-time read). The thread was highly active in 2023 around a specific privatization/sale-process catalyst (multiple bidders discussed including JSPL, political timing tied to Chhattisgarh elections), but the privatization process itself appears to have stalled -- there is no forum activity at all in the most recent ~14 months (last post read was 2025-06-13), and that final post explicitly frames the situation as 'Turnaround, may be, but the waiting will be long for asset divestment.'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trusted-tier users posted substantively in the fetched window; the most consistently engaged non-trusted voice (Rakesh_Arora) provided detailed EV/EBITDA-based valuation framing throughout 2023-2024 but the thread has since gone quiet, suggesting community interest has faded alongside the stalled privatization narrative. StonePitbull (trusted, elevated) made one minor comment (Nov 2024) on replacement-cost valuation methodology without a directional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growing very rapidly (~85%/yr average) as the newly commissioned plant ramps toward full capacity, with an expandable 6 MT capacity per NMDC management without further land acquisition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privatization/government-sale process, if it ever resumes, could act as a specific re-rating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 has been reduced (D/E ~0.45) even while still loss-making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Still deeply unprofitable (ROCE -15.73%, ROE -8.86%) with earnings actually declining even as revenue grows, indicating the ramp is not yet translating into a profitable operating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original 2023 investment thesis (privatization) has gone stale -- over a year of complete forum silence suggests the process has not progressed and community interest has moved 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confirmed, current catalyst identified in the most recent thread activity available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11,708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once-active privatization thesis that has gone quiet, with fundamentals still firmly loss-making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trailing and recent fundamentals are weak (negative ROCE/ROE, declining earnings despite revenue growth) and the one specific catalyst the community was tracking (privatization) shows no confirmed recent progress -- over a year of forum silence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an already ~Rs 11,700 Cr market cap with no active near-term catalyst, this does not meet the bar for an unconfirmed 10x tag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Revisit only if the privatization process shows concrete signs of resuming, or if the plant ramp turns demonstrably profitable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2026-08-26T18:11:43.294Z</dcterms:created>
  <dcterms:modified xsi:type="dcterms:W3CDTF">2026-08-26T18:11:43.295Z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