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NMDC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NMDC Ltd -- screened at preliminary (web/news) stage; filtered out without a deep ValuePickr thread read.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See fundamentals and verdict below. No deep ValuePickr thread read performed this pass -- this stock was filtered at the Step 3 preliminary (web/news) stage.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75,201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~27.6% / ~23.4%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Stock P/E ~10; dividend yield ~2.9%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FY26</w:t>
            </w:r>
          </w:p>
        </w:tc>
        <w:tc>
          <w:tcPr>
            <w:tcW w:type="dxa" w:w="5800"/>
          </w:tcPr>
          <w:p>
            <w:r>
              <w:t xml:space="preserve">Net profit ~Rs 2,007 Cr; revenue ~Rs 6,795 Cr; EBITDA margin ~36%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~Rs 68 - Rs 98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State-owned iron-ore miner with strong returns and low valuation, but earnings are a direct function of the iron-ore price cycle and volumes, and it is a ~Rs 75,000 Cr government-controlled entity.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deep thread read this pass -- filtered at the Step 3 preliminary stage on fundamentals / size / red-flag grounds.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in depth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75,201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Filtered out at preliminary stage -- does not fit the 10x/100x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thesis_fit neither: a ~Rs 75,000 Cr cyclical commodity PSU has no structural path to 10x in 2-3 years or 100x in 10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 and high-return today, but that is cycle-dependent and capacity growth is incremental; no re-rating catalyst that clears the bar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deep thread read; no red-flag tier; conviction Low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2026-08-29T14:32:58.010Z</dcterms:created>
  <dcterms:modified xsi:type="dcterms:W3CDTF">2026-08-29T14:32:58.013Z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