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National Securities Depository Ltd (NSDL)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securities depository with a genuine duopoly moat (vs CDSL), but already richly valued with no dedicated ValuePickr investment thread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NSDL is a SEBI-registered Market Infrastructure Institution and India's largest depository by issuers, active instruments, and settlement value under custody. Listed via IPO in 2025. Operates a natural duopoly with CDSL in India's securities-depository market.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16,479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</w:t>
            </w:r>
          </w:p>
        </w:tc>
        <w:tc>
          <w:tcPr>
            <w:tcW w:type="dxa" w:w="5800"/>
          </w:tcPr>
          <w:p>
            <w:r>
              <w:t xml:space="preserve">Rs 619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42.98, P/B 8.14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788 - 1,382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 infrastructure-monopoly-like characteristics (one of only two depositories in India, near debt-free, recurring transaction/custody revenue) but already priced at a rich ~43x P/E and 8x book for a Rs 619 Cr revenue base. Specific ROCE/ROE and revenue-growth figures were not available in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investment thread exists for NSDL as a listed stock. The only forum thread referencing NSDL (topic 9528, "NSDL Depository activities") is a thin, entirely pre-listing 2017-2018 operational/customer-service discussion (broker practices, IT security comparisons with CDSL) with no bearing on the current investment case. This candidate originated from a mention in a trusted user's (Vivek_6954) portfolio thread rather than a dedicated company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conviction signal available - the only thread found predates the company's 2025 listing and is not investment-relevant.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duopoly (with CDSL) in India's securities-depository infrastructure, a genuine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 with recurring, low-capex custody/transaction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beneficiary of continued growth in Indian demat account penetration and capital-market participation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priced at ~43x P/E / 8x book - little room for multiple expansion even if the underlying volume growth story plays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community thread or trusted-user conviction signal exists to corroborate the thesis beyond fundamentals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Financial-market-infrastructure monopolies typically scale with market-wide volumes, not company-specific execution - limits the plausibility of an independent 10x re-rating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16,479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 duopoly business already priced for its quality, with no community thread to corroborate any further re-rating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(43x P/E) against a market-infrastructure-scale (not company-specific) growth driver makes a 10x-in-2-3-years case hard to underwrite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exists to surface any specific near-term catalyst beyond general market-volume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alone (duopoly moat, debt-free) are good-quality but not sufficient absent a sharper, company-specific catalyst given the market-cap and valuation level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2026-08-23T09:59:07.412Z</dcterms:created>
  <dcterms:modified xsi:type="dcterms:W3CDTF">2026-08-23T09:59:07.413Z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