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Nazara Technologies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Diversified gaming/esports holding company facing a real regulatory threat to a major investment, plus a business-focus critique</w:t>
      </w:r>
    </w:p>
    <w:p>
      <w:pPr>
        <w:shd w:fill="FFF0F0" w:val="clear"/>
        <w:spacing w:after="200"/>
      </w:pPr>
      <w:r>
        <w:rPr>
          <w:b/>
          <w:bCs/>
          <w:color w:val="B8860B"/>
          <w:sz w:val="22"/>
          <w:szCs w:val="22"/>
        </w:rPr>
        <w:t xml:space="preserve">RED FLAG TIER: HIGH CAUTION — </w:t>
      </w:r>
      <w:r>
        <w:rPr>
          <w:sz w:val="20"/>
          <w:szCs w:val="20"/>
        </w:rPr>
        <w:t xml:space="preserve">India's real-money-gaming regulatory restrictions pose a concrete, analyst-quantified impairment risk (~Rs 850 Cr PokerBaazi investment, ~30% of share price) to a major existing investment -- a real, current financial-stress risk distinct from ordinary business risk.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Nazara Technologies is a diversified gaming and esports company operating across mobile gaming, esports (Nodwin Gaming), ad-tech, and real-money gaming (via a stake in PokerBaazi), largely growing through acquisitions rather than in-house game development.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13,782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30.5%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27.2%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Almost debt-free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45.8%/yr over 5yr, 24.8%/yr median over 10yr; FY26 consolidated revenue Rs 1,829 Cr, record EBITDA Rs 255 Cr; recent quarters show a revenue drop due to Nodwin Gaming deconsolidation (Aug 2025), not organic decline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216 - 365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Headline capital efficiency and growth metrics look excellent (ROCE 27.2%, ROE 30.5%, near-debt-free, strong multi-year revenue CAGR), but the single most consequential recent development is regulatory: India's real-money-gaming restrictions directly threaten Nazara's ~Rs 850 Cr investment in PokerBaazi, which analysts estimate represents roughly 30% of the current share price -- a potential material write-off, not a hypothetical risk.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checked -- the regulatory overhang and business-model critique were decisive.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most recent 20 of 127 posts (thread spans 2024-2026). Sentiment shows a real, sustained critique running through the thread: multiple posters (Investing_Diaries, kray) describe Nazara as 'pretty much a holding company' that jumps from acquisition to acquisition without integrating them (citing Superhero/Animal Jam as underperforming acquisitions), a framing even a trusted user only partially defended ('junior Tencent'). The most recent posts (Aug 2026) show confusion over deconsolidation-driven revenue optics and an explicit critique that the core publishing proposition is now diluted across RMG, esports, ad-tech, and offline businesses that 'require different strategies.'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Aloysius_De_Sa (trusted, elevated) offered a partial defense (acquisition-led growth model compared to Tencent, some acquisitions like Kiddopia/Animal Jam did work), but did not rebut the RMG regulatory risk or the focus critique. No trusted user made an unqualified bull case; happynadh (trusted, elevated) specifically raised the RMG regulatory-impact question without getting a reassuring answer.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checked beyond thread-referenced items (Jan 2025 open offer by Plutus Wealth/Axana Estates; Reliance-BLAST esports JV entry, Apr 2025, as a competitive dynamic).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headline capital efficiency and growth metrics (27.2% ROCE, near debt-free, 45.8%/yr 5yr revenue growth) with a diversified, large-scale gaming/esports platform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Long-term backers (Plutus Wealth's Arpit Khandelwal, CaratLane's Mithun Sacheti) have been increasing their stakes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India's real-money-gaming regulatory action directly threatens the ~Rs 850 Cr PokerBaazi investment, estimated by analysts at ~30% of the current share price -- a real, quantified, near-term impairment risk, not speculative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sustained, multi-poster community critique that Nazara is an unfocused acquisition roll-up ('holding company') without in-house game development, now spanning RMG/esports/ad-tech/offline businesses that 'require different strategies' -- a genuine strategic-coherence concern, not just noise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Mid/Large-cap (~Rs 13,782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Strong headline numbers undercut by a real regulatory threat to a major holding and a persistent focus critique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PokerBaazi/RMG regulatory risk is concrete and quantified (potential write-off of ~30% of share-price-equivalent value), not a vague overhang, and combined with the size of the company and an unresolved business-focus critique from multiple posters, this does not clear the bar for a 10x-in-2-3-years case right now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2026-08-25T14:11:57.431Z</dcterms:created>
  <dcterms:modified xsi:type="dcterms:W3CDTF">2026-08-25T14:11:57.436Z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