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Netweb Technologies India Ltd</w:t>
      </w:r>
    </w:p>
    <w:p>
      <w:pPr>
        <w:pBdr>
          <w:bottom w:val="single" w:color="CCCCCC" w:sz="6" w:space="8"/>
        </w:pBdr>
        <w:spacing w:after="200"/>
      </w:pPr>
      <w:r>
        <w:rPr>
          <w:i/>
          <w:iCs/>
          <w:color w:val="666666"/>
          <w:sz w:val="22"/>
          <w:szCs w:val="22"/>
        </w:rPr>
        <w:t xml:space="preserve">India's only listed full-stack high-performance-computing / AI-systems OEM (Tyrone brand; NVIDIA 'elite' partner) - FY26 revenue Rs 2,184 Cr (+90%), Q1 FY27 Rs 820 Cr (+172%) with AI ~62% of mix (+484% YoY), order book+L1+pipeline ~Rs 4,400 Cr - but a ~Rs 30,000 Cr large-cap at ~112x earnings with promoter/FII/DII selling and a 13% EBITDA margin</w:t>
      </w:r>
    </w:p>
    <w:p>
      <w:pPr>
        <w:pStyle w:val="Heading1"/>
        <w:spacing w:after="120" w:before="280"/>
      </w:pPr>
      <w:r>
        <w:t xml:space="preserve">Business Overview</w:t>
      </w:r>
    </w:p>
    <w:p>
      <w:pPr>
        <w:spacing w:after="120"/>
      </w:pPr>
      <w:r>
        <w:t xml:space="preserve">Netweb Technologies designs and manufactures high-end computing systems in India - AI/GPU accelerated systems, HPC clusters, private-cloud and enterprise servers, plus storage and software - under the Tyrone brand, positioned as an Indian-origin OEM (not a 'box builder'/EMS). Government departments, PSUs, research institutions and educational bodies are the core customers, with early enterprise and export wins. Sovrenn Discovery seed (2026-09-02, 'Excellent Results Jun-26'). ValuePickr thread 108083 read (69 posts, checkpoint 69).</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30,377 Cr; TTM P/E ~112x (was ~170-180x at the late-2025 peak); P/B ~40x; ROCE ~48%</w:t>
            </w:r>
          </w:p>
        </w:tc>
      </w:tr>
      <w:tr>
        <w:tc>
          <w:tcPr>
            <w:tcW w:type="dxa" w:w="3200"/>
            <w:shd w:fill="F2F2F2" w:val="clear"/>
          </w:tcPr>
          <w:p>
            <w:r>
              <w:rPr>
                <w:b/>
                <w:bCs/>
              </w:rPr>
              <w:t xml:space="preserve">Revenue</w:t>
            </w:r>
          </w:p>
        </w:tc>
        <w:tc>
          <w:tcPr>
            <w:tcW w:type="dxa" w:w="5800"/>
          </w:tcPr>
          <w:p>
            <w:r>
              <w:t xml:space="preserve">FY26 Rs 2,183.6 Cr (+90% YoY); Q4 FY26 Rs 773.7 Cr (+86.6%); Q1 FY27 Rs 819.7 Cr (+172% YoY)</w:t>
            </w:r>
          </w:p>
        </w:tc>
      </w:tr>
      <w:tr>
        <w:tc>
          <w:tcPr>
            <w:tcW w:type="dxa" w:w="3200"/>
            <w:shd w:fill="F2F2F2" w:val="clear"/>
          </w:tcPr>
          <w:p>
            <w:r>
              <w:rPr>
                <w:b/>
                <w:bCs/>
              </w:rPr>
              <w:t xml:space="preserve">AI mix</w:t>
            </w:r>
          </w:p>
        </w:tc>
        <w:tc>
          <w:tcPr>
            <w:tcW w:type="dxa" w:w="5800"/>
          </w:tcPr>
          <w:p>
            <w:r>
              <w:t xml:space="preserve">Q1 FY27 AI segment Rs 510.6 Cr (~62% of revenue, +484% YoY)</w:t>
            </w:r>
          </w:p>
        </w:tc>
      </w:tr>
      <w:tr>
        <w:tc>
          <w:tcPr>
            <w:tcW w:type="dxa" w:w="3200"/>
            <w:shd w:fill="F2F2F2" w:val="clear"/>
          </w:tcPr>
          <w:p>
            <w:r>
              <w:rPr>
                <w:b/>
                <w:bCs/>
              </w:rPr>
              <w:t xml:space="preserve">Margins</w:t>
            </w:r>
          </w:p>
        </w:tc>
        <w:tc>
          <w:tcPr>
            <w:tcW w:type="dxa" w:w="5800"/>
          </w:tcPr>
          <w:p>
            <w:r>
              <w:t xml:space="preserve">EBITDA margin ~13% (FY26 adjusted 13.3%); PAT margin ~9-10% (Q1 FY27 PAT Rs 85.3 Cr, +180%)</w:t>
            </w:r>
          </w:p>
        </w:tc>
      </w:tr>
      <w:tr>
        <w:tc>
          <w:tcPr>
            <w:tcW w:type="dxa" w:w="3200"/>
            <w:shd w:fill="F2F2F2" w:val="clear"/>
          </w:tcPr>
          <w:p>
            <w:r>
              <w:rPr>
                <w:b/>
                <w:bCs/>
              </w:rPr>
              <w:t xml:space="preserve">Order book</w:t>
            </w:r>
          </w:p>
        </w:tc>
        <w:tc>
          <w:tcPr>
            <w:tcW w:type="dxa" w:w="5800"/>
          </w:tcPr>
          <w:p>
            <w:r>
              <w:t xml:space="preserve">~Rs 2,507 Cr order book + ~Rs 848 Cr L1 (preferred vendor) + ~Rs 1,040 Cr pipeline at 30-Jun-2026; ~60% historical conversion over 18-24 months</w:t>
            </w:r>
          </w:p>
        </w:tc>
      </w:tr>
      <w:tr>
        <w:tc>
          <w:tcPr>
            <w:tcW w:type="dxa" w:w="3200"/>
            <w:shd w:fill="F2F2F2" w:val="clear"/>
          </w:tcPr>
          <w:p>
            <w:r>
              <w:rPr>
                <w:b/>
                <w:bCs/>
              </w:rPr>
              <w:t xml:space="preserve">Big orders</w:t>
            </w:r>
          </w:p>
        </w:tc>
        <w:tc>
          <w:tcPr>
            <w:tcW w:type="dxa" w:w="5800"/>
          </w:tcPr>
          <w:p>
            <w:r>
              <w:t xml:space="preserve">Rs 1,734 Cr sovereign-AI strategic order (Sep 2025); Rs 450 Cr AI-infrastructure order (Sep 2025, execution within FY)</w:t>
            </w:r>
          </w:p>
        </w:tc>
      </w:tr>
      <w:tr>
        <w:tc>
          <w:tcPr>
            <w:tcW w:type="dxa" w:w="3200"/>
            <w:shd w:fill="F2F2F2" w:val="clear"/>
          </w:tcPr>
          <w:p>
            <w:r>
              <w:rPr>
                <w:b/>
                <w:bCs/>
              </w:rPr>
              <w:t xml:space="preserve">Ownership shift</w:t>
            </w:r>
          </w:p>
        </w:tc>
        <w:tc>
          <w:tcPr>
            <w:tcW w:type="dxa" w:w="5800"/>
          </w:tcPr>
          <w:p>
            <w:r>
              <w:t xml:space="preserve">Promoter, FII and DII holdings all reduced QoQ through FY26 while public holding rose - repeatedly flagged on the VP thread</w:t>
            </w:r>
          </w:p>
        </w:tc>
      </w:tr>
    </w:tbl>
    <w:p>
      <w:pPr>
        <w:spacing w:after="100"/>
      </w:pPr>
    </w:p>
    <w:p>
      <w:pPr>
        <w:spacing w:after="120"/>
      </w:pPr>
      <w:r>
        <w:t xml:space="preserve">Netweb is a genuine structural story - the only listed Indian full-stack AI/HPC OEM, an NVIDIA elite partner, riding the IndiaAI Mission and sovereign-compute build-out, with revenue up 90% in FY26 and 172% in Q1 FY27 as AI went to ~62% of the mix. But it is now a ~Rs 30,000 Cr company at ~112x earnings, and the deep read surfaces persistent concerns: a thin ~13% EBITDA margin with little room to expand (hardware assembly economics), heavy government-customer concentration, product designs licensed from a promoter entity (Netweb Pte), a management style of guiding low and beating that several posters read as either sandbagging or a credibility problem, GPU-import-curb exposure, and - most cited - promoter, FII and DII all trimming stakes QoQ while retail holding rises. Longtime holders on the thread (Dark.Horse, firefueled) have booked large gains and exited or trimmed, explicitly citing valuation and AI-bubble risk.</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AI / HPC compute infrastructure (India sovereign-compute build-out)</w:t>
            </w:r>
          </w:p>
        </w:tc>
      </w:tr>
      <w:tr>
        <w:tc>
          <w:tcPr>
            <w:tcW w:type="dxa" w:w="3200"/>
            <w:shd w:fill="F2F2F2" w:val="clear"/>
          </w:tcPr>
          <w:p>
            <w:r>
              <w:rPr>
                <w:b/>
                <w:bCs/>
              </w:rPr>
              <w:t xml:space="preserve">This company's position</w:t>
            </w:r>
          </w:p>
        </w:tc>
        <w:tc>
          <w:tcPr>
            <w:tcW w:type="dxa" w:w="5800"/>
          </w:tcPr>
          <w:p>
            <w:r>
              <w:t xml:space="preserve">Indian-origin OEM of AI/HPC systems and clusters (Tyrone) - integrates NVIDIA/AMD silicon into full systems + software + deployment for government, PSU and research buyers</w:t>
            </w:r>
          </w:p>
        </w:tc>
      </w:tr>
      <w:tr>
        <w:tc>
          <w:tcPr>
            <w:tcW w:type="dxa" w:w="3200"/>
            <w:shd w:fill="F2F2F2" w:val="clear"/>
          </w:tcPr>
          <w:p>
            <w:r>
              <w:rPr>
                <w:b/>
                <w:bCs/>
              </w:rPr>
              <w:t xml:space="preserve">Bottleneck node (pricing power)</w:t>
            </w:r>
          </w:p>
        </w:tc>
        <w:tc>
          <w:tcPr>
            <w:tcW w:type="dxa" w:w="5800"/>
          </w:tcPr>
          <w:p>
            <w:r>
              <w:t xml:space="preserve">GPU allocation sits upstream (NVIDIA); Netweb's edge is 'Indian-origin OEM' procurement preference and system-integration/software, not a supply bottleneck it owns</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Dell Technologies, Hewlett Packard Enterprise, Super Micro Computer, Kaynes / domestic assemblers</w:t>
            </w:r>
          </w:p>
        </w:tc>
      </w:tr>
    </w:tbl>
    <w:p>
      <w:pPr>
        <w:spacing w:after="120"/>
      </w:pPr>
      <w:r>
        <w:rPr>
          <w:color w:val="666666"/>
          <w:sz w:val="18"/>
          <w:szCs w:val="18"/>
        </w:rPr>
        <w:t xml:space="preserve">The AI-system OEM node has thin, competitive assembly economics; the durable edge is the Indian-origin procurement preference plus software - real but narrower than the ~112x multiple implies, and dependent on continued GPU access.</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FY25 Rs ~415 Cr base; Q1 FY26 +102% (Rs 301 Cr); Q3 FY26 +141% (Rs 805 Cr); Q4 FY26 +86.6% (Rs 774 Cr); FY26 +90% (Rs 2,184 Cr); Q1 FY27 +172% (Rs 820 Cr). AI mix ~15% (Q4 FY25) -&gt; ~62% (Q1 FY27).</w:t>
      </w:r>
    </w:p>
    <w:p>
      <w:pPr>
        <w:spacing w:after="120"/>
      </w:pPr>
      <w:r>
        <w:rPr>
          <w:color w:val="666666"/>
          <w:sz w:val="18"/>
          <w:szCs w:val="18"/>
        </w:rPr>
        <w:t xml:space="preserve">Reverse P/E: At ~112x the multiple needs many years of &gt;40% earnings growth AND margin holding at ~13%; growth is delivering, but at this size and multiple the rate of change is roughly what is priced, not ahead of it - and promoter/institutional selling argues the informed view is that it is fully valued.</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High reported incremental ROCE (~48%) on an asset-light assembly model; no unrelated diversification. Capital-allocation record is short (listed 2023).</w:t>
            </w:r>
          </w:p>
        </w:tc>
      </w:tr>
      <w:tr>
        <w:tc>
          <w:tcPr>
            <w:tcW w:type="dxa" w:w="3200"/>
            <w:shd w:fill="F2F2F2" w:val="clear"/>
          </w:tcPr>
          <w:p>
            <w:r>
              <w:rPr>
                <w:b/>
                <w:bCs/>
              </w:rPr>
              <w:t xml:space="preserve">Related-party trend</w:t>
            </w:r>
          </w:p>
        </w:tc>
        <w:tc>
          <w:tcPr>
            <w:tcW w:type="dxa" w:w="5800"/>
          </w:tcPr>
          <w:p>
            <w:r>
              <w:t xml:space="preserve">flat</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Explicit 'we are not box builders' positioning and a stated push into telecom products and higher software content - a capability-ladder narrative, not yet proven in margin.</w:t>
            </w:r>
          </w:p>
        </w:tc>
      </w:tr>
    </w:tbl>
    <w:p>
      <w:pPr>
        <w:pStyle w:val="Heading1"/>
        <w:spacing w:after="120" w:before="280"/>
      </w:pPr>
      <w:r>
        <w:t xml:space="preserve">Technical Read (Weekly / Monthly MACD + Bollinger Bands, or RSI/CCI/Williams %R proxy)</w:t>
      </w:r>
    </w:p>
    <w:p>
      <w:pPr>
        <w:spacing w:after="120"/>
      </w:pPr>
      <w:r>
        <w:t xml:space="preserve">Not pulled in depth. Ran to ~Rs 4,500+ in mid-2026 on the AI rally, then cooled from the ~180x-PE peak; still ~112x. Execution/quarterly-cadence is the swing factor.</w:t>
      </w:r>
    </w:p>
    <w:p>
      <w:pPr>
        <w:pStyle w:val="Heading1"/>
        <w:spacing w:after="120" w:before="280"/>
      </w:pPr>
      <w:r>
        <w:t xml:space="preserve">ValuePickr Community Signal</w:t>
      </w:r>
    </w:p>
    <w:p>
      <w:pPr>
        <w:spacing w:after="120"/>
      </w:pPr>
      <w:r>
        <w:t xml:space="preserve">VP thread 108083 (69 posts): early debate on whether the NVIDIA 'elite OEM' billing is real vs promotional; recurring worries about family ownership, government-customer concentration and promoter-licensed designs; strong quarterly numbers (FY26 +90%, Q1 FY27 +172%) acknowledged but paired with 'valuations are crazy' (PE 170-180 at peak) and repeated notes that promoter+FII+DII are selling while public holding rises. karanshah137 (trusted, elevated) posts constructive quarter/product updates (Tyrone Camarero Spark, IndiaAI focus). Dark.Horse exited ~Rs 4,500 citing macro/AI-bubble; firefueled sold at ~110% profit; Gaurav_Agarwal 'really doubting the quality of this management' over GPU-curb answers.</w:t>
      </w:r>
    </w:p>
    <w:p>
      <w:pPr>
        <w:spacing w:after="120"/>
      </w:pPr>
      <w:r>
        <w:rPr>
          <w:b/>
          <w:bCs/>
          <w:sz w:val="20"/>
          <w:szCs w:val="20"/>
        </w:rPr>
        <w:t xml:space="preserve">High-conviction call from a top contributor: </w:t>
      </w:r>
      <w:r>
        <w:rPr>
          <w:sz w:val="20"/>
          <w:szCs w:val="20"/>
        </w:rPr>
        <w:t xml:space="preserve">Sector-hot, execution-strong, but the dominant thread sentiment is 'great company, wrong price' with active concern about smart-money exiting and management credibility. No unqualified high-conviction buy call at current levels.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2026-05-03 — undefined</w:t>
      </w:r>
      <w:r>
        <w:rPr>
          <w:i/>
          <w:iCs/>
          <w:color w:val="666666"/>
          <w:sz w:val="18"/>
          <w:szCs w:val="18"/>
        </w:rPr>
        <w:t xml:space="preserve"/>
      </w:r>
      <w:r>
        <w:rPr>
          <w:sz w:val="20"/>
          <w:szCs w:val="20"/>
        </w:rPr>
        <w:br/>
        <w:t xml:space="preserve">: Constructive quarter/deck note - convergence of GenAI demand, IndiaAI Mission and domestic-manufacturing push as a long runway.</w:t>
      </w:r>
    </w:p>
    <w:p>
      <w:pPr>
        <w:spacing w:after="100"/>
      </w:pPr>
      <w:r>
        <w:rPr>
          <w:b/>
          <w:bCs/>
          <w:sz w:val="20"/>
          <w:szCs w:val="20"/>
        </w:rPr>
        <w:t xml:space="preserve">2026-02-18 — undefined</w:t>
      </w:r>
      <w:r>
        <w:rPr>
          <w:i/>
          <w:iCs/>
          <w:color w:val="666666"/>
          <w:sz w:val="18"/>
          <w:szCs w:val="18"/>
        </w:rPr>
        <w:t xml:space="preserve"/>
      </w:r>
      <w:r>
        <w:rPr>
          <w:sz w:val="20"/>
          <w:szCs w:val="20"/>
        </w:rPr>
        <w:br/>
        <w:t xml:space="preserve">: Constructive - frames Netweb as a rare listed pick-and-shovel AI play with physical hardware in India (Tyrone Camarero Spark launch); tracking, not a stated buy call.</w:t>
      </w:r>
    </w:p>
    <w:p>
      <w:pPr>
        <w:pStyle w:val="Heading1"/>
        <w:spacing w:after="120" w:before="280"/>
      </w:pPr>
      <w:r>
        <w:t xml:space="preserve">BSE Corporate Actions / Other Red Flags</w:t>
      </w:r>
    </w:p>
    <w:p>
      <w:pPr>
        <w:spacing w:after="120"/>
      </w:pPr>
      <w:r>
        <w:t xml:space="preserve">No SEBI or fraud action found. Product/IP designs licensed from Netweb Pte (a promoter-owned entity) per the DRHP - a standing related-party item. Aug 2024: several FIIs bought a block while four promoters (Navin/Sanjay/Niraj/Vivek Lodha) sold the same quantity at the same price. Promoter/FII/DII holdings trimmed through FY26.</w:t>
      </w:r>
    </w:p>
    <w:p>
      <w:pPr>
        <w:pStyle w:val="Heading1"/>
        <w:spacing w:after="120" w:before="280"/>
      </w:pPr>
      <w:r>
        <w:t xml:space="preserve">Bull Case</w:t>
      </w:r>
    </w:p>
    <w:p>
      <w:pPr>
        <w:pStyle w:val="ListParagraph"/>
        <w:numPr>
          <w:ilvl w:val="0"/>
          <w:numId w:val="1"/>
        </w:numPr>
        <w:spacing w:after="60"/>
      </w:pPr>
      <w:r>
        <w:t xml:space="preserve">Only listed Indian full-stack AI/HPC OEM; NVIDIA elite partner; 'Make in India' / IndiaAI-Mission procurement preference</w:t>
      </w:r>
    </w:p>
    <w:p>
      <w:pPr>
        <w:pStyle w:val="ListParagraph"/>
        <w:numPr>
          <w:ilvl w:val="0"/>
          <w:numId w:val="1"/>
        </w:numPr>
        <w:spacing w:after="60"/>
      </w:pPr>
      <w:r>
        <w:t xml:space="preserve">Revenue +90% FY26 and +172% Q1 FY27; AI ~62% of mix (+484% YoY); ROCE ~48%</w:t>
      </w:r>
    </w:p>
    <w:p>
      <w:pPr>
        <w:pStyle w:val="ListParagraph"/>
        <w:numPr>
          <w:ilvl w:val="0"/>
          <w:numId w:val="1"/>
        </w:numPr>
        <w:spacing w:after="60"/>
      </w:pPr>
      <w:r>
        <w:t xml:space="preserve">Order book + L1 + pipeline ~Rs 4,400 Cr with ~60% historical conversion; two large sovereign-AI orders (Rs 1,734 Cr + Rs 450 Cr)</w:t>
      </w:r>
    </w:p>
    <w:p>
      <w:pPr>
        <w:pStyle w:val="ListParagraph"/>
        <w:numPr>
          <w:ilvl w:val="0"/>
          <w:numId w:val="1"/>
        </w:numPr>
        <w:spacing w:after="60"/>
      </w:pPr>
      <w:r>
        <w:t xml:space="preserve">Sovereign-compute / GPU-cloud build-out is a multi-year, policy-backed structural tailwind</w:t>
      </w:r>
    </w:p>
    <w:p>
      <w:pPr>
        <w:pStyle w:val="Heading1"/>
        <w:spacing w:after="120" w:before="280"/>
      </w:pPr>
      <w:r>
        <w:t xml:space="preserve">Bear Case / Key Risks</w:t>
      </w:r>
    </w:p>
    <w:p>
      <w:pPr>
        <w:pStyle w:val="ListParagraph"/>
        <w:numPr>
          <w:ilvl w:val="0"/>
          <w:numId w:val="1"/>
        </w:numPr>
        <w:spacing w:after="60"/>
      </w:pPr>
      <w:r>
        <w:t xml:space="preserve">~Rs 30,000 Cr market cap at ~112x earnings, ~40x book - priced for years of flawless execution</w:t>
      </w:r>
    </w:p>
    <w:p>
      <w:pPr>
        <w:pStyle w:val="ListParagraph"/>
        <w:numPr>
          <w:ilvl w:val="0"/>
          <w:numId w:val="1"/>
        </w:numPr>
        <w:spacing w:after="60"/>
      </w:pPr>
      <w:r>
        <w:t xml:space="preserve">Thin ~13% EBITDA / ~9-10% PAT margin with limited expansion room (hardware assembly)</w:t>
      </w:r>
    </w:p>
    <w:p>
      <w:pPr>
        <w:pStyle w:val="ListParagraph"/>
        <w:numPr>
          <w:ilvl w:val="0"/>
          <w:numId w:val="1"/>
        </w:numPr>
        <w:spacing w:after="60"/>
      </w:pPr>
      <w:r>
        <w:t xml:space="preserve">Heavy government-customer concentration; designs licensed from a promoter entity (Netweb Pte)</w:t>
      </w:r>
    </w:p>
    <w:p>
      <w:pPr>
        <w:pStyle w:val="ListParagraph"/>
        <w:numPr>
          <w:ilvl w:val="0"/>
          <w:numId w:val="1"/>
        </w:numPr>
        <w:spacing w:after="60"/>
      </w:pPr>
      <w:r>
        <w:t xml:space="preserve">Promoter, FII and DII all reducing stakes QoQ while retail holding rises - repeatedly flagged</w:t>
      </w:r>
    </w:p>
    <w:p>
      <w:pPr>
        <w:pStyle w:val="ListParagraph"/>
        <w:numPr>
          <w:ilvl w:val="0"/>
          <w:numId w:val="1"/>
        </w:numPr>
        <w:spacing w:after="60"/>
      </w:pPr>
      <w:r>
        <w:t xml:space="preserve">GPU-import-curb exposure; management-credibility doubts on the thread; AI-capex/bubble risk</w:t>
      </w:r>
    </w:p>
    <w:p>
      <w:pPr>
        <w:pStyle w:val="Heading1"/>
        <w:spacing w:after="120" w:before="280"/>
      </w:pPr>
      <w:r>
        <w:t xml:space="preserve">Market-Cap Tier (informational — not a gate in this project)</w:t>
      </w:r>
    </w:p>
    <w:p>
      <w:pPr>
        <w:spacing w:after="120"/>
      </w:pPr>
      <w:r>
        <w:rPr>
          <w:b/>
          <w:bCs/>
        </w:rPr>
        <w:t xml:space="preserve">Large-cap (~Rs 30,377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Genuine structural AI-infra story and India's only listed full-stack HPC/AI OEM, but a ~Rs 30,000 Cr large-cap at ~112x with a 13% margin, government concentration, promoter-licensed IP and promoter/FII/DII selling - thesis_fit neither (size math + governance flags); note for the max-returns watch as the sole listed India AI-OEM.</w:t>
      </w:r>
    </w:p>
    <w:p>
      <w:pPr>
        <w:pStyle w:val="ListParagraph"/>
        <w:numPr>
          <w:ilvl w:val="0"/>
          <w:numId w:val="1"/>
        </w:numPr>
        <w:spacing w:after="60"/>
      </w:pPr>
      <w:r>
        <w:t xml:space="preserve">Sovrenn Discovery seed; the datapoints (Q1 FY27 revenue Rs 820 Cr +172%, AI 62% of mix, order book+L1+pipeline ~Rs 4,400 Cr) verify against the results, the concall trackers on the thread and the order announcements</w:t>
      </w:r>
    </w:p>
    <w:p>
      <w:pPr>
        <w:pStyle w:val="ListParagraph"/>
        <w:numPr>
          <w:ilvl w:val="0"/>
          <w:numId w:val="1"/>
        </w:numPr>
        <w:spacing w:after="60"/>
      </w:pPr>
      <w:r>
        <w:t xml:space="preserve">Large-cap inflection exception considered: the IndiaAI Mission / sovereign-compute build-out is a real industry-structure shift and Netweb is uniquely placed - but from ~Rs 30,000 Cr at ~112x a 10x or 100x is not credible, and the promoter/FII/DII selling, promoter-licensed designs and 13% margin are genuine offsets -&gt; thesis_fit neither on size math plus governance</w:t>
      </w:r>
    </w:p>
    <w:p>
      <w:pPr>
        <w:pStyle w:val="ListParagraph"/>
        <w:numPr>
          <w:ilvl w:val="0"/>
          <w:numId w:val="1"/>
        </w:numPr>
        <w:spacing w:after="60"/>
      </w:pPr>
      <w:r>
        <w:t xml:space="preserve">Kept out of a blind 'neither' bucket for the max-returns ranking note: it is the only listed Indian full-stack AI/HPC OEM with a structural tailwind, so it belongs on the quality-but-priced watch rather than being dismissed</w:t>
      </w:r>
    </w:p>
    <w:p>
      <w:pPr>
        <w:pStyle w:val="ListParagraph"/>
        <w:numPr>
          <w:ilvl w:val="0"/>
          <w:numId w:val="1"/>
        </w:numPr>
        <w:spacing w:after="60"/>
      </w:pPr>
      <w:r>
        <w:t xml:space="preserve">Conviction Low-Medium: execution and order book are strong, but valuation and the ownership/governance signals pull hard the other way; management_quality assessment 'concern' (promoter-licensed IP + stake reduction), which is a narrative negative and does not set red_flag_tier</w:t>
      </w:r>
    </w:p>
    <w:p>
      <w:pPr>
        <w:pStyle w:val="ListParagraph"/>
        <w:numPr>
          <w:ilvl w:val="0"/>
          <w:numId w:val="1"/>
        </w:numPr>
        <w:spacing w:after="60"/>
      </w:pPr>
      <w:r>
        <w:t xml:space="preserve">Live-theme adjacency: loose fit to priority-1 'AI / data-centre semiconductor capex' and 'Data-centre power &amp; cooling' - Netweb is the compute-box / AI-system layer, not the bottleneck node; value_chain + growth_trajectory + management_quality blocks added</w:t>
      </w:r>
    </w:p>
    <w:p>
      <w:pPr>
        <w:pStyle w:val="ListParagraph"/>
        <w:numPr>
          <w:ilvl w:val="0"/>
          <w:numId w:val="1"/>
        </w:numPr>
        <w:spacing w:after="60"/>
      </w:pPr>
      <w:r>
        <w:t xml:space="preserve">checkpoint last_post_number_analyzed = 69; revisit_after_30d false (thesis_fit neither)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2026-09-03T14:38:39.328Z</dcterms:created>
  <dcterms:modified xsi:type="dcterms:W3CDTF">2026-09-03T14:38:39.328Z</dcterms:modified>
</cp:coreProperties>
</file>

<file path=docProps/custom.xml><?xml version="1.0" encoding="utf-8"?>
<Properties xmlns="http://schemas.openxmlformats.org/officeDocument/2006/custom-properties" xmlns:vt="http://schemas.openxmlformats.org/officeDocument/2006/docPropsVTypes"/>
</file>