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Nitco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tile maker with negative returns, revenue in multi-year decline and ~67% of promoter holding pledged -- turnaround remains unproven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Nitco makes ceramic and vitrified tiles, marble and mosaic, plus a small realty vertical. It has a long history of debt restructuring.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2,326 Cr (down ~21%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~-3% / ~-0.4% (ROIC ~-41%)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508 Cr; net loss ~Rs 29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trend</w:t>
            </w:r>
          </w:p>
        </w:tc>
        <w:tc>
          <w:tcPr>
            <w:tcW w:type="dxa" w:w="5800"/>
          </w:tcPr>
          <w:p>
            <w:r>
              <w:t xml:space="preserve">-3.5% FY25; 5-yr CAGR ~-7.4%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~67.1% of promoter holding pledged;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revenue fell to ~Rs 120 Cr from ~Rs 150 Cr YoY; net loss ~Rs 10 Cr vs a profit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the trailing record and the latest quarter are weak: negative ROE/ROCE, revenue declining for years, a widening loss in the most recent quarter, low interest coverage and about two-thirds of promoter holding pledged. The 'turnaround' thesis has no supporting evidence in the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Filtered at the preliminary stage: a loss-making company with negative returns, multi-year revenue decline, a widening recent-quarter loss and a heavy promoter pledge, with no catalyst that is actually visible in the results.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High promoter pledge (~67%) and low interest coverage are the standout concerns; long history of debt restructuring.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tile brand with pan-India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if the housing cycle and a genuine operational turnaround materialise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Land/realty assets on the books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ROE/ROCE; net loss widening in the most recent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in multi-year decline (5-yr CAGR ~-7%)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~67% of promoter holding pledged; low interest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evidence of an actual turnaround in the results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2,326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Loss-making, shrinking and heavily pledged -- no evidence the turnaround is real;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and weak recent trend, no visible catalyst -&gt; 'neither' per the standard 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pledge (~67%) and negative returns compound the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Low, no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2026-08-27T16:50:30.906Z</dcterms:created>
  <dcterms:modified xsi:type="dcterms:W3CDTF">2026-08-27T16:50:30.907Z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