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Orchid Pharma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Cephalosporin API leader with a genuinely novel, fully-owned patented antibiotic asset — but current screener fundamentals look weak and need reconciling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Orchid Pharma is a Chennai-based cephalosporin API manufacturer, one of only three USFDA-approved sterile-cephalosporin API facilities globally. It is backward-integrating via a 1,000 TPA 7-ACA plant in Jammu (reducing China dependence) and has developed EXBLIFEP (cefepime + enmetazobactam) — a USFDA- and EMA-approved novel antibiotic, the first Indian-invented NCE to gain US approval — plus a cefiderocol facility with India marketing rights and 135-country GARDP access.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9,966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-7.01% (screener); another source shows ROE (TTM) 1.59%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-6.21%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-14.54% (screener)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28.16%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603.80 - 1,997.40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There is a real discrepancy between the current screener snapshot (negative ROE/ROCE, -14.5% revenue growth) and the FY24 trajectory shown in the ValuePickr thread (FY24 revenue Rs 819 Cr vs Rs 666 Cr, PAT Rs 94 Cr vs Rs 55 Cr — real growth). This needs a fresh, current-quarter check before high conviction — flagging as unconfirmed rather than assuming either figure is definitive.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40 available posts (2024-2025, single batch — the thread is short and every post is genuinely catalyst-relevant, so no further escalation was needed). Sentiment has been consistently and specifically bullish, centered on concrete regulatory/IP milestones rather than vague narrative: EMA approval (Jan 2024), USFDA approval of EXBLIFEP (Feb 2024, first Indian NCE via NDA process), DCGI approval (June 2024), a Cipla marketing partnership for India (June 2024), and — the most recent and most important development — Orchid's July 2025 acquisition of Allecra Therapeutics' assets, giving Orchid 100% global ownership of enmetazobactam and resolving prior uncertainty from Allecra's insolvency.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Gautam_Chopra (trusted) is the most active tracker, posting detailed notes on the turnaround thesis, valuation, and drug pipeline through 2024-2025. ranvir (trusted) posted concall highlights (Q3/Q4 FY24) showing real sequential revenue and margin improvement. An unnamed poster ('anon', not on the trusted roster but well-received, 14 loves) estimated a line-of-sight to Rs 400-500 Cr PAT within 3-4 years across the existing business plus Exblifep royalties/sales and cefiderocol. sougataG (trusted) flagged in Aug 2025 an older 2021 article about a historical 72%-discount share-price announcement, seeking clarification — unresolved in the posts read.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2026-08-23 — phreakv6</w:t>
      </w:r>
      <w:r>
        <w:rPr>
          <w:i/>
          <w:iCs/>
          <w:color w:val="666666"/>
          <w:sz w:val="18"/>
          <w:szCs w:val="18"/>
        </w:rPr>
        <w:t xml:space="preserve"> (external (X post corroboration, not this VP thread))</w:t>
      </w:r>
      <w:r>
        <w:rPr>
          <w:sz w:val="20"/>
          <w:szCs w:val="20"/>
        </w:rPr>
        <w:br/>
        <w:t xml:space="preserve">: Source_detail notes independent corroboration: presented as a high-conviction pick at the Investing Accelerator Summit (IAS) 2026 by Sagar Arya (ticker ORCHPHARMA, CMP Rs 1,002 at the summit) — a second independent source within days of the original X-post lead by @mohitjariwala25, which cited the cephalosporin API franchise, 7-ACA backward integration, cefiderocol exclusivity, and EXBLIFEP as the core thesis.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of only three USFDA-approved sterile-cephalosporin API facilities globally, with a 1,000 TPA 7-ACA backward-integration plant reducing China dependence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EXBLIFEP (enmetazobactam+cefepime) is a genuinely differentiated, patented, USFDA+EMA-approved novel antibiotic — the first Indian-invented NCE to clear the US NDA process — with a Cipla India partnership and, as of July 2025, 100% global ownership after the Allecra asset acquisition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Cefiderocol facility carries India marketing rights plus 135-country GARDP access, and a new Orchid AMS division targets Rs 250-300 Cr revenue within 2-3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Independently corroborated as a high-conviction pick from two separate sources (an X post and an IAS 2026 summit pitch) within days of each other in Aug 2026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screener snapshot shows negative ROE (-7.01%), negative ROCE (-6.21%), and -14.5% revenue growth — in direct tension with the FY24 real-growth narrative on the VP thread; this discrepancy is unresolved and needs a fresh, current-quarter check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9,966 Cr, this is already a large-cap for this screen (consistent with the old research project's own 'Large-cap, excluded' classification), requiring a sharper catalyst than typically found at this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VP thread has been quiet since August 2025 — no fresh community read on the most recent 12 months of execution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9,966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differentiated, fully-owned patented drug franchise — but current fundamentals need reconciling before conviction can be more than tentative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EXBLIFEP/cefiderocol asset base is a real, specific, patent-protected catalyst — exactly the kind of sharper story this screen requires to justify a large-cap-adjacent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sharp conflict between screener's current negative-return snapshot and the VP thread's FY24 growth narrative is a real unresolved gap, not a minor discrepancy — this keeps conviction low rather than high until a fresh quarterly check resolves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Double independent corroboration (VP thread + two separate Aug 2026 external mentions) earns this a place in the queue, but the fundamentals gap means this is flagged, not confirmed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2026-08-24T12:50:09.044Z</dcterms:created>
  <dcterms:modified xsi:type="dcterms:W3CDTF">2026-08-24T12:50:09.045Z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