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Oriana Power Ltd</w:t>
      </w:r>
    </w:p>
    <w:p>
      <w:pPr>
        <w:pBdr>
          <w:bottom w:val="single" w:color="CCCCCC" w:sz="6" w:space="8"/>
        </w:pBdr>
        <w:spacing w:after="200"/>
      </w:pPr>
      <w:r>
        <w:rPr>
          <w:i/>
          <w:iCs/>
          <w:color w:val="666666"/>
          <w:sz w:val="22"/>
          <w:szCs w:val="22"/>
        </w:rPr>
        <w:t xml:space="preserve">Fast-growing solar EPC + RESCO player (32% ROCE, 159% revenue growth) diversifying into BESS and green hydrogen - but a SEBI warning letter, heavy promoter-entity related-party sales and trusted-user distrust of the balance sheet</w:t>
      </w:r>
    </w:p>
    <w:p>
      <w:pPr>
        <w:shd w:fill="FFF0F0" w:val="clear"/>
        <w:spacing w:after="200"/>
      </w:pPr>
      <w:r>
        <w:rPr>
          <w:b/>
          <w:bCs/>
          <w:color w:val="B8860B"/>
          <w:sz w:val="22"/>
          <w:szCs w:val="22"/>
        </w:rPr>
        <w:t xml:space="preserve">RED FLAG TIER: HIGH CAUTION — </w:t>
      </w:r>
      <w:r>
        <w:rPr>
          <w:sz w:val="20"/>
          <w:szCs w:val="20"/>
        </w:rPr>
        <w:t xml:space="preserve">March 2025 SEBI warning letter (alleged violation of SEBI ICDR Regulation 167(6), a disclosure matter - not an adjudication/prohibitory order); ~1/3 of FY25 revenue from sales of solar plants to promoter-group entities; heavily moderated concalls; multiple trusted community users explicitly distrust the balance sheet and aggressive capex model, with repeated Gensol Engineering comparisons.</w:t>
      </w:r>
    </w:p>
    <w:p>
      <w:pPr>
        <w:pStyle w:val="Heading1"/>
        <w:spacing w:after="120" w:before="280"/>
      </w:pPr>
      <w:r>
        <w:t xml:space="preserve">Business Overview</w:t>
      </w:r>
    </w:p>
    <w:p>
      <w:pPr>
        <w:spacing w:after="120"/>
      </w:pPr>
      <w:r>
        <w:t xml:space="preserve">Oriana Power is a renewable-energy company: solar EPC for C&amp;I clients, plus an IPP/RESCO model where it builds, owns and operates solar assets under 25-year PPAs and then 'recycles' them by selling to institutional funds/InvITs to fund new projects. It is expanding into battery energy storage (BESS - has won large standalone BESS auctions in Tamil Nadu, Rajasthan, Karnataka), green hydrogen/ammonia, compressed bio-gas (CBG) and data centres. It listed on NSE Emerge (SME) and is targeting main-board migration. Prashant Jain (ex-HDFC MF) and, more recently, Actis are associated names.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2,743 Cr (small/mid-cap); near 52-week low (Rs 3,064 high vs Rs 1,233 low)</w:t>
            </w:r>
          </w:p>
        </w:tc>
      </w:tr>
      <w:tr>
        <w:tc>
          <w:tcPr>
            <w:tcW w:type="dxa" w:w="3200"/>
            <w:shd w:fill="F2F2F2" w:val="clear"/>
          </w:tcPr>
          <w:p>
            <w:r>
              <w:rPr>
                <w:b/>
                <w:bCs/>
              </w:rPr>
              <w:t xml:space="preserve">ROCE / ROE</w:t>
            </w:r>
          </w:p>
        </w:tc>
        <w:tc>
          <w:tcPr>
            <w:tcW w:type="dxa" w:w="5800"/>
          </w:tcPr>
          <w:p>
            <w:r>
              <w:t xml:space="preserve">~32% / ~31%</w:t>
            </w:r>
          </w:p>
        </w:tc>
      </w:tr>
      <w:tr>
        <w:tc>
          <w:tcPr>
            <w:tcW w:type="dxa" w:w="3200"/>
            <w:shd w:fill="F2F2F2" w:val="clear"/>
          </w:tcPr>
          <w:p>
            <w:r>
              <w:rPr>
                <w:b/>
                <w:bCs/>
              </w:rPr>
              <w:t xml:space="preserve">Revenue growth</w:t>
            </w:r>
          </w:p>
        </w:tc>
        <w:tc>
          <w:tcPr>
            <w:tcW w:type="dxa" w:w="5800"/>
          </w:tcPr>
          <w:p>
            <w:r>
              <w:t xml:space="preserve">~159% (FY25 revenue ~Rs 987 Cr at ~16% PAT margin); FY26 guidance Rs 2,000-2,500 Cr; 'vision' of Rs 1,000 Cr PAT by FY28</w:t>
            </w:r>
          </w:p>
        </w:tc>
      </w:tr>
      <w:tr>
        <w:tc>
          <w:tcPr>
            <w:tcW w:type="dxa" w:w="3200"/>
            <w:shd w:fill="F2F2F2" w:val="clear"/>
          </w:tcPr>
          <w:p>
            <w:r>
              <w:rPr>
                <w:b/>
                <w:bCs/>
              </w:rPr>
              <w:t xml:space="preserve">Debt</w:t>
            </w:r>
          </w:p>
        </w:tc>
        <w:tc>
          <w:tcPr>
            <w:tcW w:type="dxa" w:w="5800"/>
          </w:tcPr>
          <w:p>
            <w:r>
              <w:t xml:space="preserve">Debt/equity ~0.5x (H1 FY26); heavy interest payout for an A-rated borrower per trusted user</w:t>
            </w:r>
          </w:p>
        </w:tc>
      </w:tr>
      <w:tr>
        <w:tc>
          <w:tcPr>
            <w:tcW w:type="dxa" w:w="3200"/>
            <w:shd w:fill="F2F2F2" w:val="clear"/>
          </w:tcPr>
          <w:p>
            <w:r>
              <w:rPr>
                <w:b/>
                <w:bCs/>
              </w:rPr>
              <w:t xml:space="preserve">Related-party</w:t>
            </w:r>
          </w:p>
        </w:tc>
        <w:tc>
          <w:tcPr>
            <w:tcW w:type="dxa" w:w="5800"/>
          </w:tcPr>
          <w:p>
            <w:r>
              <w:t xml:space="preserve">~Rs 385 Cr of FY25 revenue (~1/3) from selling solar plants to promoter-group entities (the RESCO asset-recycling model)</w:t>
            </w:r>
          </w:p>
        </w:tc>
      </w:tr>
    </w:tbl>
    <w:p>
      <w:pPr>
        <w:spacing w:after="100"/>
      </w:pPr>
    </w:p>
    <w:p>
      <w:pPr>
        <w:spacing w:after="120"/>
      </w:pPr>
      <w:r>
        <w:t xml:space="preserve">On the numbers this looks like a classic multi-bagger: ~32% ROCE, ~31% ROE, revenue up ~159%, D/E ~0.5x, a Rs 900 Cr FY25 order backlog delivered as Rs 987 Cr revenue at 16% PAT margin, and a Rs 2,500 Cr backlog entering FY26 with Rs 2,000-2,500 Cr revenue guidance. The problem is what sits behind the numbers. Roughly one-third of FY25 revenue was solar plants sold to promoter-group entities - defenders (including trusted users) say this is the standard RESCO 'asset recycling' model that adds 7-8% margin and lets the company scale without over-leveraging, and that these SPVs are progressively moved to the subsidiary list as they become operational and then sold to third parties. Skeptics see profit routed through promoter entities. H2 FY26 results were flattish HoH/YoY with margin compression and employee costs tripling, and the stock is at a 52-week low despite 'good' reported numbers.</w:t>
      </w:r>
    </w:p>
    <w:p>
      <w:pPr>
        <w:pStyle w:val="Heading1"/>
        <w:spacing w:after="120" w:before="280"/>
      </w:pPr>
      <w:r>
        <w:t xml:space="preserve">Technical Read (Weekly / Monthly MACD + Bollinger Bands, or RSI/CCI/Williams %R proxy)</w:t>
      </w:r>
    </w:p>
    <w:p>
      <w:pPr>
        <w:spacing w:after="120"/>
      </w:pPr>
      <w:r>
        <w:t xml:space="preserve">Not independently pulled. Stock is at/near a 52-week low (~Rs 1,233 area vs a Rs 3,064 high) despite reported growth - a clear market-distrust signal.</w:t>
      </w:r>
    </w:p>
    <w:p>
      <w:pPr>
        <w:pStyle w:val="Heading1"/>
        <w:spacing w:after="120" w:before="280"/>
      </w:pPr>
      <w:r>
        <w:t xml:space="preserve">ValuePickr Community Signal</w:t>
      </w:r>
    </w:p>
    <w:p>
      <w:pPr>
        <w:spacing w:after="120"/>
      </w:pPr>
      <w:r>
        <w:t xml:space="preserve">Read the most recent 50 of 68 posts (Nov 2024 to Aug 2026). Early posts were euphoric (blockbuster H1 FY25, very bullish guidance). Sentiment then split hard. Bulls / trackers include trusted users vnktshb (invested, posts guidance and comps), idikasony and r8b8 (order-win tracking), manthansoni1991 (elevated, explained the RESCO subsidiary-reclassification mechanics in defence of the RPT concern), and Satishwe (elevated, but his post only corrects a factually wrong AI 'red flag' list, not an endorsement). The skeptic/negative camp is heavily trusted-weighted: Sudarsan93 (elevated) flagged a SEBI warning letter (alleged ICDR Reg 167(6) violation, March 2025); vikas_sinha (elevated) posted a skeptical read of flattish H2 FY26 results ('tremendous interest payout for an A-rated borrower, margins compression, employee expense tripling'); Shail1234 (elevated) and Sushant1 slammed the concall as scripted/over-moderated with no direct questions allowed; hnk_so (elevated) stated outright 'I... do not have confidence in Oriana Power's balance sheet and their aggressive capex-intensive expansion. Hence, will not invest.' The community repeatedly draws Gensol Engineering parallels.</w:t>
      </w:r>
    </w:p>
    <w:p>
      <w:pPr>
        <w:spacing w:after="120"/>
      </w:pPr>
      <w:r>
        <w:rPr>
          <w:b/>
          <w:bCs/>
          <w:sz w:val="20"/>
          <w:szCs w:val="20"/>
        </w:rPr>
        <w:t xml:space="preserve">High-conviction call from a top contributor: </w:t>
      </w:r>
      <w:r>
        <w:rPr>
          <w:sz w:val="20"/>
          <w:szCs w:val="20"/>
        </w:rPr>
        <w:t xml:space="preserve">Genuinely split, and the negative side carries multiple trusted (elevated) voices: hnk_so explicitly will not invest citing balance-sheet distrust; vikas_sinha skeptical on the latest results; Shail1234/Sushant1 on governance/concall opacity; Sudarsan93 surfaced the SEBI warning letter. Bulls (vnktshb, idikasony, r8b8) are invested and track order wins but the tone is 'great numbers, can we trust them?'. No clean high-conviction trusted buy call.</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2025-11-17 — vnktshb</w:t>
      </w:r>
      <w:r>
        <w:rPr>
          <w:i/>
          <w:iCs/>
          <w:color w:val="666666"/>
          <w:sz w:val="18"/>
          <w:szCs w:val="18"/>
        </w:rPr>
        <w:t xml:space="preserve"> (Oriana Power)</w:t>
      </w:r>
      <w:r>
        <w:rPr>
          <w:sz w:val="20"/>
          <w:szCs w:val="20"/>
        </w:rPr>
        <w:br/>
        <w:t xml:space="preserve">: Invested and bullish - posts guidance/comps: FY26 Rs 2,000-2,500 Cr revenue at similar/better margins, vision of Rs 1,000 Cr PAT by FY28, 'on track'; trades ~17.8x FY26E vs solar peers 29-44x</w:t>
      </w:r>
    </w:p>
    <w:p>
      <w:pPr>
        <w:spacing w:after="100"/>
      </w:pPr>
      <w:r>
        <w:rPr>
          <w:b/>
          <w:bCs/>
          <w:sz w:val="20"/>
          <w:szCs w:val="20"/>
        </w:rPr>
        <w:t xml:space="preserve">2025-03-10 — Sudarsan93</w:t>
      </w:r>
      <w:r>
        <w:rPr>
          <w:i/>
          <w:iCs/>
          <w:color w:val="666666"/>
          <w:sz w:val="18"/>
          <w:szCs w:val="18"/>
        </w:rPr>
        <w:t xml:space="preserve"> (Oriana Power)</w:t>
      </w:r>
      <w:r>
        <w:rPr>
          <w:sz w:val="20"/>
          <w:szCs w:val="20"/>
        </w:rPr>
        <w:br/>
        <w:t xml:space="preserve">: Flagged the SEBI warning letter alleging violation of Regulation 167(6) of SEBI ICDR Regulations, 2018</w:t>
      </w:r>
    </w:p>
    <w:p>
      <w:pPr>
        <w:spacing w:after="100"/>
      </w:pPr>
      <w:r>
        <w:rPr>
          <w:b/>
          <w:bCs/>
          <w:sz w:val="20"/>
          <w:szCs w:val="20"/>
        </w:rPr>
        <w:t xml:space="preserve">2026-03-18 — hnk_so</w:t>
      </w:r>
      <w:r>
        <w:rPr>
          <w:i/>
          <w:iCs/>
          <w:color w:val="666666"/>
          <w:sz w:val="18"/>
          <w:szCs w:val="18"/>
        </w:rPr>
        <w:t xml:space="preserve"> (Oriana Power)</w:t>
      </w:r>
      <w:r>
        <w:rPr>
          <w:sz w:val="20"/>
          <w:szCs w:val="20"/>
        </w:rPr>
        <w:br/>
        <w:t xml:space="preserve">: 'I being a conservative investor, do not have confidence in Oriana Power's balance sheet and their aggressive capex-intensive expansion. Hence, will not invest.'</w:t>
      </w:r>
    </w:p>
    <w:p>
      <w:pPr>
        <w:spacing w:after="100"/>
      </w:pPr>
      <w:r>
        <w:rPr>
          <w:b/>
          <w:bCs/>
          <w:sz w:val="20"/>
          <w:szCs w:val="20"/>
        </w:rPr>
        <w:t xml:space="preserve">2026-05-28 — vikas_sinha</w:t>
      </w:r>
      <w:r>
        <w:rPr>
          <w:i/>
          <w:iCs/>
          <w:color w:val="666666"/>
          <w:sz w:val="18"/>
          <w:szCs w:val="18"/>
        </w:rPr>
        <w:t xml:space="preserve"> (Oriana Power)</w:t>
      </w:r>
      <w:r>
        <w:rPr>
          <w:sz w:val="20"/>
          <w:szCs w:val="20"/>
        </w:rPr>
        <w:br/>
        <w:t xml:space="preserve">: Skeptical read of H2 FY26: flattish HoH/YoY, 'tremendous interest payout for an A-rated borrower', margin compression, employee expense tripling vs the prior half, ~30% tax rate</w:t>
      </w:r>
    </w:p>
    <w:p>
      <w:pPr>
        <w:spacing w:after="100"/>
      </w:pPr>
      <w:r>
        <w:rPr>
          <w:b/>
          <w:bCs/>
          <w:sz w:val="20"/>
          <w:szCs w:val="20"/>
        </w:rPr>
        <w:t xml:space="preserve">2026-06-26 — Shail1234</w:t>
      </w:r>
      <w:r>
        <w:rPr>
          <w:i/>
          <w:iCs/>
          <w:color w:val="666666"/>
          <w:sz w:val="18"/>
          <w:szCs w:val="18"/>
        </w:rPr>
        <w:t xml:space="preserve"> (Oriana Power)</w:t>
      </w:r>
      <w:r>
        <w:rPr>
          <w:sz w:val="20"/>
          <w:szCs w:val="20"/>
        </w:rPr>
        <w:br/>
        <w:t xml:space="preserve">: Poor concall - moderated, no direct investor questions, no update on main-board migration or Actis per-MW profit; 'green hydrogen, CBG, e-fuel, electrolyzer - so far it's nothing. Simple solar and BESS EPC, that is all.'</w:t>
      </w:r>
    </w:p>
    <w:p>
      <w:pPr>
        <w:pStyle w:val="Heading1"/>
        <w:spacing w:after="120" w:before="280"/>
      </w:pPr>
      <w:r>
        <w:t xml:space="preserve">BSE Corporate Actions / Other Red Flags</w:t>
      </w:r>
    </w:p>
    <w:p>
      <w:pPr>
        <w:spacing w:after="120"/>
      </w:pPr>
      <w:r>
        <w:t xml:space="preserve">March 2025: SEBI warning letter alleging violation of Regulation 167(6) of the SEBI (ICDR) Regulations, 2018 - a disclosure-related warning, not an adjudication or prohibitory order, but an active regulatory touchpoint. Large recurring related-party transactions: ~Rs 385 Cr of FY25 revenue from sales of solar power plants to promoter-group entities (~1/3 of revenue); advance income received from related parties; multiple SPVs with &gt;10% promoter holding reclassified to subsidiaries in the Nov 2025 filing. Still on NSE Emerge (SME); main-board migration pending. Concalls criticised as heavily moderated. An 'Actis' asset deal referenced in 2026 concalls without full disclosure.</w:t>
      </w:r>
    </w:p>
    <w:p>
      <w:pPr>
        <w:pStyle w:val="Heading1"/>
        <w:spacing w:after="120" w:before="280"/>
      </w:pPr>
      <w:r>
        <w:t xml:space="preserve">Bull Case</w:t>
      </w:r>
    </w:p>
    <w:p>
      <w:pPr>
        <w:pStyle w:val="ListParagraph"/>
        <w:numPr>
          <w:ilvl w:val="0"/>
          <w:numId w:val="1"/>
        </w:numPr>
        <w:spacing w:after="60"/>
      </w:pPr>
      <w:r>
        <w:t xml:space="preserve">Spectacular reported metrics - ~32% ROCE, ~31% ROE, ~159% revenue growth, D/E ~0.5x - on a small ~Rs 2,700 Cr base</w:t>
      </w:r>
    </w:p>
    <w:p>
      <w:pPr>
        <w:pStyle w:val="ListParagraph"/>
        <w:numPr>
          <w:ilvl w:val="0"/>
          <w:numId w:val="1"/>
        </w:numPr>
        <w:spacing w:after="60"/>
      </w:pPr>
      <w:r>
        <w:t xml:space="preserve">Real order momentum across solar EPC and large standalone BESS auction wins (TN, Rajasthan, Karnataka), plus a stated revenue-mix shift toward BESS (40% by FY27) and hydrogen (FY28+)</w:t>
      </w:r>
    </w:p>
    <w:p>
      <w:pPr>
        <w:pStyle w:val="ListParagraph"/>
        <w:numPr>
          <w:ilvl w:val="0"/>
          <w:numId w:val="1"/>
        </w:numPr>
        <w:spacing w:after="60"/>
      </w:pPr>
      <w:r>
        <w:t xml:space="preserve">RESCO asset-recycling model, if genuine, adds 7-8% margin and funds growth without heavy leverage; some trusted users defend the mechanics</w:t>
      </w:r>
    </w:p>
    <w:p>
      <w:pPr>
        <w:pStyle w:val="ListParagraph"/>
        <w:numPr>
          <w:ilvl w:val="0"/>
          <w:numId w:val="1"/>
        </w:numPr>
        <w:spacing w:after="60"/>
      </w:pPr>
      <w:r>
        <w:t xml:space="preserve">Stock at a 52-week low despite reported growth - large upside if the market's trust concerns prove misplaced and main-board migration re-rates it</w:t>
      </w:r>
    </w:p>
    <w:p>
      <w:pPr>
        <w:pStyle w:val="Heading1"/>
        <w:spacing w:after="120" w:before="280"/>
      </w:pPr>
      <w:r>
        <w:t xml:space="preserve">Bear Case / Key Risks</w:t>
      </w:r>
    </w:p>
    <w:p>
      <w:pPr>
        <w:pStyle w:val="ListParagraph"/>
        <w:numPr>
          <w:ilvl w:val="0"/>
          <w:numId w:val="1"/>
        </w:numPr>
        <w:spacing w:after="60"/>
      </w:pPr>
      <w:r>
        <w:t xml:space="preserve">SEBI warning letter (ICDR disclosure violation, March 2025) - an active regulatory flag</w:t>
      </w:r>
    </w:p>
    <w:p>
      <w:pPr>
        <w:pStyle w:val="ListParagraph"/>
        <w:numPr>
          <w:ilvl w:val="0"/>
          <w:numId w:val="1"/>
        </w:numPr>
        <w:spacing w:after="60"/>
      </w:pPr>
      <w:r>
        <w:t xml:space="preserve">~1/3 of FY25 revenue is sales to promoter-group entities; the model's integrity is unverifiable from outside and invites the Gensol comparison the community keeps making</w:t>
      </w:r>
    </w:p>
    <w:p>
      <w:pPr>
        <w:pStyle w:val="ListParagraph"/>
        <w:numPr>
          <w:ilvl w:val="0"/>
          <w:numId w:val="1"/>
        </w:numPr>
        <w:spacing w:after="60"/>
      </w:pPr>
      <w:r>
        <w:t xml:space="preserve">Multiple trusted (elevated) users explicitly distrust the balance sheet / governance and will not invest; concalls are scripted and over-moderated</w:t>
      </w:r>
    </w:p>
    <w:p>
      <w:pPr>
        <w:pStyle w:val="ListParagraph"/>
        <w:numPr>
          <w:ilvl w:val="0"/>
          <w:numId w:val="1"/>
        </w:numPr>
        <w:spacing w:after="60"/>
      </w:pPr>
      <w:r>
        <w:t xml:space="preserve">H2 FY26 flattish HoH/YoY with margin compression and employee costs tripling; heavy interest payout for an A-rated borrower</w:t>
      </w:r>
    </w:p>
    <w:p>
      <w:pPr>
        <w:pStyle w:val="ListParagraph"/>
        <w:numPr>
          <w:ilvl w:val="0"/>
          <w:numId w:val="1"/>
        </w:numPr>
        <w:spacing w:after="60"/>
      </w:pPr>
      <w:r>
        <w:t xml:space="preserve">Aggressive, capex-intensive diversification (BESS, green hydrogen, CBG, e-fuel, data centres) where 'so far it's nothing' per a trusted user - execution entirely unproven</w:t>
      </w:r>
    </w:p>
    <w:p>
      <w:pPr>
        <w:pStyle w:val="ListParagraph"/>
        <w:numPr>
          <w:ilvl w:val="0"/>
          <w:numId w:val="1"/>
        </w:numPr>
        <w:spacing w:after="60"/>
      </w:pPr>
      <w:r>
        <w:t xml:space="preserve">Still an SME-board stock with the liquidity/disclosure limitations that implies</w:t>
      </w:r>
    </w:p>
    <w:p>
      <w:pPr>
        <w:pStyle w:val="Heading1"/>
        <w:spacing w:after="120" w:before="280"/>
      </w:pPr>
      <w:r>
        <w:t xml:space="preserve">Market-Cap Tier (informational — not a gate in this project)</w:t>
      </w:r>
    </w:p>
    <w:p>
      <w:pPr>
        <w:spacing w:after="120"/>
      </w:pPr>
      <w:r>
        <w:rPr>
          <w:b/>
          <w:bCs/>
        </w:rPr>
        <w:t xml:space="preserve">Small/Mid-cap (~Rs 2,743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HIGH CAUTION - the growth and return metrics fit a 10x profile, but a SEBI warning letter, one-third-of-revenue promoter-entity sales and explicit trusted-user distrust of the balance sheet keep conviction at Low</w:t>
      </w:r>
    </w:p>
    <w:p>
      <w:pPr>
        <w:pStyle w:val="ListParagraph"/>
        <w:numPr>
          <w:ilvl w:val="0"/>
          <w:numId w:val="1"/>
        </w:numPr>
        <w:spacing w:after="60"/>
      </w:pPr>
      <w:r>
        <w:t xml:space="preserve">The reported numbers (32% ROCE, 159% growth, small base) arithmetically support a 10x-in-2-3-years label, so 'neither' would misrepresent the headline opportunity</w:t>
      </w:r>
    </w:p>
    <w:p>
      <w:pPr>
        <w:pStyle w:val="ListParagraph"/>
        <w:numPr>
          <w:ilvl w:val="0"/>
          <w:numId w:val="1"/>
        </w:numPr>
        <w:spacing w:after="60"/>
      </w:pPr>
      <w:r>
        <w:t xml:space="preserve">But conviction is Low and the stock carries a HIGH CAUTION tier: a March 2025 SEBI warning letter (ICDR disclosure), ~1/3 of revenue from related-party plant sales, opaque concalls, and several trusted (elevated) users - hnk_so, vikas_sinha, Shail1234 - explicitly distrusting the balance sheet or refusing to invest</w:t>
      </w:r>
    </w:p>
    <w:p>
      <w:pPr>
        <w:pStyle w:val="ListParagraph"/>
        <w:numPr>
          <w:ilvl w:val="0"/>
          <w:numId w:val="1"/>
        </w:numPr>
        <w:spacing w:after="60"/>
      </w:pPr>
      <w:r>
        <w:t xml:space="preserve">The market is voting the same way - 52-week low despite reported growth</w:t>
      </w:r>
    </w:p>
    <w:p>
      <w:pPr>
        <w:pStyle w:val="ListParagraph"/>
        <w:numPr>
          <w:ilvl w:val="0"/>
          <w:numId w:val="1"/>
        </w:numPr>
        <w:spacing w:after="60"/>
      </w:pPr>
      <w:r>
        <w:t xml:space="preserve">No 30-day revisit (HIGH CAUTION + Low conviction); re-check if the SEBI matter is closed cleanly, related-party revenue share falls materially, the company migrates to the main board, and BESS/hydrogen revenue actually shows up in the numbers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2026-08-27T03:01:48.444Z</dcterms:created>
  <dcterms:modified xsi:type="dcterms:W3CDTF">2026-08-27T03:01:48.445Z</dcterms:modified>
</cp:coreProperties>
</file>

<file path=docProps/custom.xml><?xml version="1.0" encoding="utf-8"?>
<Properties xmlns="http://schemas.openxmlformats.org/officeDocument/2006/custom-properties" xmlns:vt="http://schemas.openxmlformats.org/officeDocument/2006/docPropsVTypes"/>
</file>