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PCBL Chemical Ltd (formerly Phillips Carbon Black)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carbon-black leader diversifying into specialty chemicals (Aquapharm) - but no recent growth, margin decline and ~1.5x debt/equity from a heavy capex-plus-acquisition cycle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PCBL (RP-Sanjiv Goenka group) is India's largest carbon-black producer (tyre-grade and specialty/performance blacks) with a growing power co-generation business and, since 2024, a specialty-chemicals arm via the Aquapharm/'Aquaform' acquisition (phosphonates, water-treatment chemistry, with optionality in nano-silicon). It is mid-way through a large capacity-expansion program (new Chennai/Tamil Nadu lines, an Andhra land allotment) and debottlenecking.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12,000-13,000 Cr (approx.)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8,548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~11.8% / ~11.8%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Strong in FY25 (Q1 FY25 revenue +59% YoY) but recent quarters flat-to-down with margin and profit de-growth (per trusted-user reads, early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~1.5x; gross debt ~Rs 4,400 Cr+; ~Rs 3,300 Cr further capex planned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226 - 425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PCBL earns roughly its cost of capital (ROCE ~12%) in a commodity where raw material (carbon-black feedstock / crude derivatives) is largely a pass-through. FY25 was a strong up-cycle (record volumes, EBITDA per tonne rising), but by early 2026 trusted-user reads describe flat sales, margin decline and profit de-growth, with the stock down ~50% from its highs. Fixed assets + CWIP more than doubled (from ~Rs 3,000 Cr in FY23 to ~Rs 7,500 Cr by H1 FY26), so the next leg depends on that capex earning a return while debt/equity sits at ~1.5x.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has corrected ~50% from its peak and, per an in-thread comment, has been in a sideways-to-down trend since mid-2024.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199 posts (Jul 2024 to Aug 2026). Trusted user Jitendrapd94 (elevated, invested) is the thread's analyst-of-record, posting detailed concall summaries every quarter - very bullish through the FY25 up-cycle (record volumes, US$1bn revenue run-rate, specialty-black and phosphonate optionality). Through 2025-26 the tone cooled: debt became the recurring worry (abhikjha exited early 2025 over it), and by Jan 2026 trusted user Aman_Jain3 noted no sales growth, margin decline and profit de-growth, while also pointing to doubled fixed assets, rising FII/DII stakes and ~2% promoter buying as a possible 'next leg of growth' setup. Aug 2026: antson_m (trusted) shared an AI-built bull/bear forecast, expecting the truth 'somewhere in between'.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Jitendrapd94 (trusted, elevated, invested) remains engaged and constructive on the long-term diversification story but the thread's own recent reads (Aman_Jain3, trusted) acknowledge current fundamentals are weak - no growth, margin pressure - with debt the dominant risk. Turnaround is described as 'around the corner', i.e. not yet visible in the numbers.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2026-01-08 — Aman_Jain3</w:t>
      </w:r>
      <w:r>
        <w:rPr>
          <w:i/>
          <w:iCs/>
          <w:color w:val="666666"/>
          <w:sz w:val="18"/>
          <w:szCs w:val="18"/>
        </w:rPr>
        <w:t xml:space="preserve"> (Phillips Carbon Black (PCBL))</w:t>
      </w:r>
      <w:r>
        <w:rPr>
          <w:sz w:val="20"/>
          <w:szCs w:val="20"/>
        </w:rPr>
        <w:br/>
        <w:t xml:space="preserve">: Noted ~50% price correction alongside weak fundamentals (no sales growth, margin/profit de-growth) but flagged doubled fixed assets+CWIP, rising FII/DII stakes and ~2% promoter buying as a possible next-leg-of-growth setup - watching, not a conviction call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PCBL renamed from Phillips Carbon Black. Aquapharm/Aquaform specialty-chemicals acquisition (2024). Andhra Pradesh land allotment (116.62 acres) for expansion. No SEBI action or pledge flag noted; debt is elevated but serviced.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Undisputed domestic carbon-black leadership with rising EBITDA/tonne and a genuine move up the value chain into specialty/performance blacks and phosphonate chemistry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capex already on the ground (fixed assets +CWIP doubled to ~Rs 7,500 Cr) - operating leverage if utilisation and the cycle cooperate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institutional ownership and ~2% recent promoter buying into the price weakness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down ~50% from its peak - valuation reset has partly happened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quarters show no sales growth, margin decline and profit de-growth - the up-cycle has rolled over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~1.5x with ~Rs 3,300 Cr more capex planned; several posters exited specifically on the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economics: RM is a pass-through and falling RM is often margin-negative (inventory losses, buyers destock)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Specialty-chemicals / nano-silicon optionality is real but unproven at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12,000-13,000 Cr this is not a small-cap; no catalyst supports a multi-bagger over 2-3 years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12,000-13,000 Cr approx.)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- a cyclical commodity leader mid-down-cycle, with elevated debt and a heavy capex bill, and no recent-quarter inflection to lean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returns are only ~cost of capital and the recent trend is negative (flat sales, margin and profit de-growth per trusted-user reads)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Debt/equity ~1.5x plus ~Rs 3,300 Cr further capex is a real balance-sheet risk in a down-cycle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specialty-chemicals diversification is promising long-term but not yet a needle-mover; no near-term catalyst with a 2-3 year multi-bagger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if the specialty segment scales materially or the carbon-black cycle turns with visible debt reduction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2026-08-27T03:01:47.693Z</dcterms:created>
  <dcterms:modified xsi:type="dcterms:W3CDTF">2026-08-27T03:01:47.693Z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