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PI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agrochemical CSM leader facing a genuine near-term export slowdown after years of consistent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PI Industries is a leading agrochemical player combining a domestic branded formulations business with a large Custom Synthesis &amp; Manufacturing (CSM) export franchise for global agrochemical majors, and is expanding into pharma CDMO.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38,036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2,658 - Rs 4,329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16.35%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18.72%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18.83% (though one source flags only 7.96% 5-yr sales growth)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0.01 (almost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46.09%, 0% pledged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capital efficiency and a debt-free balance sheet, but growth-rate data is conflicting across sources (18.83% CAGR vs. a separately-cited 7.96% 5-year sales growth), consistent with the community's own observation of a recent slowdown after years of stronger growth.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de-rated from its highs (52-week range Rs 2,658-4,329), with a forum-shared chart explicitly showing 'EPS growth and PE derating' as sector sentiment on agrochemicals turned negative.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1,322 posts (single batch — thread already surfaced a clear, high-love bear case with converging posters, no escalation needed given the strength of signal already captured). Sentiment has turned cautious: management explicitly guided to a 'clear slowdown in CSM/export business in next two quarters' with clients in wait-and-watch mode on 2025 orders (newrb, 32 loves — the single highest-love post read this run). A separate post from the same user (25 loves) pushed back skeptically on management's '10x opportunity over 20 years' framing as too distant to underwrite today.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(phreakv6) posts found in this thread. The two highest-love posts in the window (newrb, 32 and 25 loves) are both cautionary/skeptical — a meaningfully bearish-leaning community signal despite the stock's historically strong reputation on the forum.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A customs classification dispute (~Rs 100 Cr demand, ~Rs 300 Cr contingent liability) was raised and assessed by responders as immaterial (~3% of equity) and a routine, resolvable classification issue, not a governance red flag. Promoter stake reduction was explained as post-COVID QIP dilution for pharma expansion, not open-market selling.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balance sheet (D/E 0.01) and strong ROCE/ROE among agrochemical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long-term vision targets '10x opportunities over the next 20 years', reflecting genuine pipeline diversification into pharma CDMO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reaffirmed AA+/Stable and A1+ ratings as of April 2025, indicating no credit-quality deterioration despite the slowdown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itself has guided to a clear CSM/export slowdown for the next two quarters, with client order visibility soft into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of the highest-love posts in the recent thread window are explicitly skeptical of management's long-horizon growth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Conflicting growth-rate figures across sources point to genuine deceleration versus the company's historical growth reputation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38,036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balance sheet, but management-guided export slowdown and large size rule out a near-term multibagger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Clears the quality gate on capital efficiency and balance sheet strength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an explicit, management-acknowledged near-term slowdown, echoed by the highest-love community posts, argues against a clean growth setup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38,036 Cr market cap, both 10x-in-2-3-years and 100x-in-10-years are implausible regardless of the slowdown — this is a large-cap quality name, not a multibagger microcap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2026-08-22T03:01:53.522Z</dcterms:created>
  <dcterms:modified xsi:type="dcterms:W3CDTF">2026-08-22T03:01:53.523Z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