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PTC Industries Ltd</w:t>
      </w:r>
    </w:p>
    <w:p>
      <w:pPr>
        <w:pBdr>
          <w:bottom w:val="single" w:color="CCCCCC" w:sz="6" w:space="8"/>
        </w:pBdr>
        <w:spacing w:after="200"/>
      </w:pPr>
      <w:r>
        <w:rPr>
          <w:i/>
          <w:iCs/>
          <w:color w:val="666666"/>
          <w:sz w:val="22"/>
          <w:szCs w:val="22"/>
        </w:rPr>
        <w:t xml:space="preserve">One of two companies worldwide making large titanium AND superalloy aero-engine castings — the global-proxy signal is confirmed (Airbus/Safran/Blue Origin/BrahMos wins, revenue +97%), but ~350x trailing prices the entire decade</w:t>
      </w:r>
    </w:p>
    <w:p>
      <w:pPr>
        <w:pStyle w:val="Heading1"/>
        <w:spacing w:after="120" w:before="280"/>
      </w:pPr>
      <w:r>
        <w:t xml:space="preserve">Business Overview</w:t>
      </w:r>
    </w:p>
    <w:p>
      <w:pPr>
        <w:spacing w:after="120"/>
      </w:pPr>
      <w:r>
        <w:t xml:space="preserve">Investment-castings and forgings maker; the value is in wholly-owned subsidiary Aerolloy Technologies, which makes titanium and superalloy castings/forgings for aero-engines and defence at a Strategic Materials Technology Complex in Lucknow — one of only two firms globally able to produce large investment castings in both titanium alloys and superalloys, and the first India source of titanium cast components for Safran Aircraft Engines.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35,700 Cr</w:t>
            </w:r>
          </w:p>
        </w:tc>
      </w:tr>
      <w:tr>
        <w:tc>
          <w:tcPr>
            <w:tcW w:type="dxa" w:w="3200"/>
            <w:shd w:fill="F2F2F2" w:val="clear"/>
          </w:tcPr>
          <w:p>
            <w:r>
              <w:rPr>
                <w:b/>
                <w:bCs/>
              </w:rPr>
              <w:t xml:space="preserve">FY26 revenue / PAT</w:t>
            </w:r>
          </w:p>
        </w:tc>
        <w:tc>
          <w:tcPr>
            <w:tcW w:type="dxa" w:w="5800"/>
          </w:tcPr>
          <w:p>
            <w:r>
              <w:t xml:space="preserve">Rs 603 Cr (+96%) / Rs 102 Cr (+66%)</w:t>
            </w:r>
          </w:p>
        </w:tc>
      </w:tr>
      <w:tr>
        <w:tc>
          <w:tcPr>
            <w:tcW w:type="dxa" w:w="3200"/>
            <w:shd w:fill="F2F2F2" w:val="clear"/>
          </w:tcPr>
          <w:p>
            <w:r>
              <w:rPr>
                <w:b/>
                <w:bCs/>
              </w:rPr>
              <w:t xml:space="preserve">Q1 FY27 (consol)</w:t>
            </w:r>
          </w:p>
        </w:tc>
        <w:tc>
          <w:tcPr>
            <w:tcW w:type="dxa" w:w="5800"/>
          </w:tcPr>
          <w:p>
            <w:r>
              <w:t xml:space="preserve">Revenue Rs 192 Cr (+97% YoY); EBITDA Rs 48.9 Cr (+400%, 25.5% margin vs 10.1%); PAT Rs 29.2 Cr (+466%)</w:t>
            </w:r>
          </w:p>
        </w:tc>
      </w:tr>
      <w:tr>
        <w:tc>
          <w:tcPr>
            <w:tcW w:type="dxa" w:w="3200"/>
            <w:shd w:fill="F2F2F2" w:val="clear"/>
          </w:tcPr>
          <w:p>
            <w:r>
              <w:rPr>
                <w:b/>
                <w:bCs/>
              </w:rPr>
              <w:t xml:space="preserve">Aerolloy Q1 FY27</w:t>
            </w:r>
          </w:p>
        </w:tc>
        <w:tc>
          <w:tcPr>
            <w:tcW w:type="dxa" w:w="5800"/>
          </w:tcPr>
          <w:p>
            <w:r>
              <w:t xml:space="preserve">Income Rs 74.3 Cr (+466%); EBITDA margin ~45%; PAT Rs 22 Cr</w:t>
            </w:r>
          </w:p>
        </w:tc>
      </w:tr>
      <w:tr>
        <w:tc>
          <w:tcPr>
            <w:tcW w:type="dxa" w:w="3200"/>
            <w:shd w:fill="F2F2F2" w:val="clear"/>
          </w:tcPr>
          <w:p>
            <w:r>
              <w:rPr>
                <w:b/>
                <w:bCs/>
              </w:rPr>
              <w:t xml:space="preserve">ROE (3-yr)</w:t>
            </w:r>
          </w:p>
        </w:tc>
        <w:tc>
          <w:tcPr>
            <w:tcW w:type="dxa" w:w="5800"/>
          </w:tcPr>
          <w:p>
            <w:r>
              <w:t xml:space="preserve">~7% (improving fast)</w:t>
            </w:r>
          </w:p>
        </w:tc>
      </w:tr>
      <w:tr>
        <w:tc>
          <w:tcPr>
            <w:tcW w:type="dxa" w:w="3200"/>
            <w:shd w:fill="F2F2F2" w:val="clear"/>
          </w:tcPr>
          <w:p>
            <w:r>
              <w:rPr>
                <w:b/>
                <w:bCs/>
              </w:rPr>
              <w:t xml:space="preserve">Balance sheet</w:t>
            </w:r>
          </w:p>
        </w:tc>
        <w:tc>
          <w:tcPr>
            <w:tcW w:type="dxa" w:w="5800"/>
          </w:tcPr>
          <w:p>
            <w:r>
              <w:t xml:space="preserve">Borrowing limit raised Rs 350 Cr -&gt; Rs 600 Cr for capacity capex</w:t>
            </w:r>
          </w:p>
        </w:tc>
      </w:tr>
      <w:tr>
        <w:tc>
          <w:tcPr>
            <w:tcW w:type="dxa" w:w="3200"/>
            <w:shd w:fill="F2F2F2" w:val="clear"/>
          </w:tcPr>
          <w:p>
            <w:r>
              <w:rPr>
                <w:b/>
                <w:bCs/>
              </w:rPr>
              <w:t xml:space="preserve">Valuation</w:t>
            </w:r>
          </w:p>
        </w:tc>
        <w:tc>
          <w:tcPr>
            <w:tcW w:type="dxa" w:w="5800"/>
          </w:tcPr>
          <w:p>
            <w:r>
              <w:t xml:space="preserve">~300-350x trailing earnings</w:t>
            </w:r>
          </w:p>
        </w:tc>
      </w:tr>
    </w:tbl>
    <w:p>
      <w:pPr>
        <w:spacing w:after="100"/>
      </w:pPr>
    </w:p>
    <w:p>
      <w:pPr>
        <w:spacing w:after="120"/>
      </w:pPr>
      <w:r>
        <w:t xml:space="preserve">The global-proxy hypothesis — a multi-year titanium/superalloy casting + forging order book into GE/Safran-type aero-engine supply chains plus a capacity ramp plus first-time-India qualification wins — is now clearly visible in disclosures: a landmark Airbus agreement (Ti castings for A320neo/A330neo/A350), an earlier Blue Origin BE-4 order, a BrahMos strategic missile sub-system order (entry into systems integration), Safran qualification, an advanced titanium casting furnace commissioned Sept 2025, and a borrowing-limit increase for capex. Revenue nearly doubled and EBITDA margin jumped from ~10% to ~25% in a single quarter. The catch is valuation: at ~Rs 35,700 Cr on ~Rs 100-120 Cr of earnings the multiple already discounts a decade of successful ramp.</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Defence / aerospace manufacturing bottlenecks (missiles, interceptors, precision parts)</w:t>
            </w:r>
          </w:p>
        </w:tc>
      </w:tr>
      <w:tr>
        <w:tc>
          <w:tcPr>
            <w:tcW w:type="dxa" w:w="3200"/>
            <w:shd w:fill="F2F2F2" w:val="clear"/>
          </w:tcPr>
          <w:p>
            <w:r>
              <w:rPr>
                <w:b/>
                <w:bCs/>
              </w:rPr>
              <w:t xml:space="preserve">This company's position</w:t>
            </w:r>
          </w:p>
        </w:tc>
        <w:tc>
          <w:tcPr>
            <w:tcW w:type="dxa" w:w="5800"/>
          </w:tcPr>
          <w:p>
            <w:r>
              <w:t xml:space="preserve">titanium + superalloy investment castings and forgings for aero-engines and defence (via Aerolloy Technologies); one of two firms globally for large Ti + superalloy castings; first India source for Safran Ti cast components</w:t>
            </w:r>
          </w:p>
        </w:tc>
      </w:tr>
      <w:tr>
        <w:tc>
          <w:tcPr>
            <w:tcW w:type="dxa" w:w="3200"/>
            <w:shd w:fill="F2F2F2" w:val="clear"/>
          </w:tcPr>
          <w:p>
            <w:r>
              <w:rPr>
                <w:b/>
                <w:bCs/>
              </w:rPr>
              <w:t xml:space="preserve">Bottleneck node (pricing power)</w:t>
            </w:r>
          </w:p>
        </w:tc>
        <w:tc>
          <w:tcPr>
            <w:tcW w:type="dxa" w:w="5800"/>
          </w:tcPr>
          <w:p>
            <w:r>
              <w:t xml:space="preserve">large titanium / superalloy hot-section castings and forgings — globally supply-constrained, multi-year OEM qualification cycles</w:t>
            </w:r>
          </w:p>
        </w:tc>
      </w:tr>
      <w:tr>
        <w:tc>
          <w:tcPr>
            <w:tcW w:type="dxa" w:w="3200"/>
            <w:shd w:fill="F2F2F2" w:val="clear"/>
          </w:tcPr>
          <w:p>
            <w:r>
              <w:rPr>
                <w:b/>
                <w:bCs/>
              </w:rPr>
              <w:t xml:space="preserve">Supply-side status</w:t>
            </w:r>
          </w:p>
        </w:tc>
        <w:tc>
          <w:tcPr>
            <w:tcW w:type="dxa" w:w="5800"/>
          </w:tcPr>
          <w:p>
            <w:r>
              <w:t xml:space="preserve">consolidating</w:t>
            </w:r>
          </w:p>
        </w:tc>
      </w:tr>
      <w:tr>
        <w:tc>
          <w:tcPr>
            <w:tcW w:type="dxa" w:w="3200"/>
            <w:shd w:fill="F2F2F2" w:val="clear"/>
          </w:tcPr>
          <w:p>
            <w:r>
              <w:rPr>
                <w:b/>
                <w:bCs/>
              </w:rPr>
              <w:t xml:space="preserve">Adjacent-node peers</w:t>
            </w:r>
          </w:p>
        </w:tc>
        <w:tc>
          <w:tcPr>
            <w:tcW w:type="dxa" w:w="5800"/>
          </w:tcPr>
          <w:p>
            <w:r>
              <w:t xml:space="preserve">Bharat Forge, MTAR Technologies, Steelcast, Precision Castparts (global)</w:t>
            </w:r>
          </w:p>
        </w:tc>
      </w:tr>
    </w:tbl>
    <w:p>
      <w:pPr>
        <w:spacing w:after="120"/>
      </w:pPr>
      <w:r>
        <w:rPr>
          <w:color w:val="666666"/>
          <w:sz w:val="18"/>
          <w:szCs w:val="18"/>
        </w:rPr>
        <w:t xml:space="preserve">Capital-cycle read: qualified supply is scarce and slow to add (7-10-yr OEM qualification), so incumbents that clear qualification gain pricing power; PTC/Aerolloy has cleared it with Airbus/Safran/Blue Origin — the constraint now is its own capacity ramp, which capex is addressing.</w:t>
      </w:r>
    </w:p>
    <w:p>
      <w:pPr>
        <w:spacing w:after="60" w:before="120"/>
      </w:pPr>
      <w:r>
        <w:rPr>
          <w:b/>
          <w:bCs/>
          <w:sz w:val="20"/>
          <w:szCs w:val="20"/>
        </w:rPr>
        <w:t xml:space="preserve">Global-signal check: </w:t>
      </w:r>
      <w:r>
        <w:rPr>
          <w:b w:val="false"/>
          <w:bCs w:val="false"/>
          <w:sz w:val="20"/>
          <w:szCs w:val="20"/>
        </w:rPr>
        <w:t xml:space="preserve">Indian-name alignment with the global tailwind is unclear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Bellwether / theme</w:t>
            </w:r>
          </w:p>
        </w:tc>
        <w:tc>
          <w:tcPr>
            <w:tcW w:type="dxa" w:w="5800"/>
          </w:tcPr>
          <w:p>
            <w:r>
              <w:t xml:space="preserve">—</w:t>
            </w:r>
          </w:p>
        </w:tc>
      </w:tr>
      <w:tr>
        <w:tc>
          <w:tcPr>
            <w:tcW w:type="dxa" w:w="3200"/>
            <w:shd w:fill="F2F2F2" w:val="clear"/>
          </w:tcPr>
          <w:p>
            <w:r>
              <w:rPr>
                <w:b/>
                <w:bCs/>
              </w:rPr>
              <w:t xml:space="preserve">Global tailwind</w:t>
            </w:r>
          </w:p>
        </w:tc>
        <w:tc>
          <w:tcPr>
            <w:tcW w:type="dxa" w:w="5800"/>
          </w:tcPr>
          <w:p>
            <w:r>
              <w:t xml:space="preserve">commercial-aero aftermarket + LEAP engine ramp; spare-parts orders +34% H1, &gt;95% of Q3 spares revenue in backlog, supplier output constrained</w:t>
            </w:r>
          </w:p>
        </w:tc>
      </w:tr>
      <w:tr>
        <w:tc>
          <w:tcPr>
            <w:tcW w:type="dxa" w:w="3200"/>
            <w:shd w:fill="F2F2F2" w:val="clear"/>
          </w:tcPr>
          <w:p>
            <w:r>
              <w:rPr>
                <w:b/>
                <w:bCs/>
              </w:rPr>
              <w:t xml:space="preserve">Signal looked for</w:t>
            </w:r>
          </w:p>
        </w:tc>
        <w:tc>
          <w:tcPr>
            <w:tcW w:type="dxa" w:w="5800"/>
          </w:tcPr>
          <w:p>
            <w:r>
              <w:t xml:space="preserve">—</w:t>
            </w:r>
          </w:p>
        </w:tc>
      </w:tr>
      <w:tr>
        <w:tc>
          <w:tcPr>
            <w:tcW w:type="dxa" w:w="3200"/>
            <w:shd w:fill="F2F2F2" w:val="clear"/>
          </w:tcPr>
          <w:p>
            <w:r>
              <w:rPr>
                <w:b/>
                <w:bCs/>
              </w:rPr>
              <w:t xml:space="preserve">Found in the Indian name</w:t>
            </w:r>
          </w:p>
        </w:tc>
        <w:tc>
          <w:tcPr>
            <w:tcW w:type="dxa" w:w="5800"/>
          </w:tcPr>
          <w:p>
            <w:r>
              <w:t xml:space="preserve">—</w:t>
            </w:r>
          </w:p>
        </w:tc>
      </w:tr>
      <w:tr>
        <w:tc>
          <w:tcPr>
            <w:tcW w:type="dxa" w:w="3200"/>
            <w:shd w:fill="F2F2F2" w:val="clear"/>
          </w:tcPr>
          <w:p>
            <w:r>
              <w:rPr>
                <w:b/>
                <w:bCs/>
              </w:rPr>
              <w:t xml:space="preserve">Checked on</w:t>
            </w:r>
          </w:p>
        </w:tc>
        <w:tc>
          <w:tcPr>
            <w:tcW w:type="dxa" w:w="5800"/>
          </w:tcPr>
          <w:p>
            <w:r>
              <w:t xml:space="preserve">—</w:t>
            </w:r>
          </w:p>
        </w:tc>
      </w:tr>
    </w:tbl>
    <w:p>
      <w:pPr>
        <w:pStyle w:val="Heading1"/>
        <w:spacing w:after="120" w:before="280"/>
      </w:pPr>
      <w:r>
        <w:t xml:space="preserve">Technical Read (Weekly / Monthly MACD + Bollinger Bands, or RSI/CCI/Williams %R proxy)</w:t>
      </w:r>
    </w:p>
    <w:p>
      <w:pPr>
        <w:spacing w:after="120"/>
      </w:pPr>
      <w:r/>
    </w:p>
    <w:p>
      <w:pPr>
        <w:pStyle w:val="Heading1"/>
        <w:spacing w:after="120" w:before="280"/>
      </w:pPr>
      <w:r>
        <w:t xml:space="preserve">ValuePickr Community Signal</w:t>
      </w:r>
    </w:p>
    <w:p>
      <w:pPr>
        <w:spacing w:after="120"/>
      </w:pPr>
      <w:r>
        <w:t xml:space="preserve">No dedicated ValuePickr thread resolved (PTC India Ltd is an unrelated power-trading company). External coverage is uniformly bullish on the strategic positioning and Q1 FY27 print; it is a Mukul Agrawal portfolio holding.</w:t>
      </w:r>
    </w:p>
    <w:p>
      <w:pPr>
        <w:spacing w:after="120"/>
      </w:pPr>
      <w:r>
        <w:rPr>
          <w:b/>
          <w:bCs/>
          <w:sz w:val="20"/>
          <w:szCs w:val="20"/>
        </w:rPr>
        <w:t xml:space="preserve">High-conviction call from a top contributor: </w:t>
      </w:r>
      <w:r>
        <w:rPr>
          <w:sz w:val="20"/>
          <w:szCs w:val="20"/>
        </w:rPr>
        <w:t xml:space="preserve">No ValuePickr thread; no trusted-roster coverage. Model-derived global-proxy candidate, not user-vetted.</w:t>
      </w:r>
    </w:p>
    <w:p>
      <w:pPr>
        <w:pStyle w:val="Heading1"/>
        <w:spacing w:after="120" w:before="280"/>
      </w:pPr>
      <w:r>
        <w:t xml:space="preserve">BSE Corporate Actions / Other Red Flags</w:t>
      </w:r>
    </w:p>
    <w:p>
      <w:pPr>
        <w:spacing w:after="120"/>
      </w:pPr>
      <w:r/>
    </w:p>
    <w:p>
      <w:pPr>
        <w:pStyle w:val="Heading1"/>
        <w:spacing w:after="120" w:before="280"/>
      </w:pPr>
      <w:r>
        <w:t xml:space="preserve">Bull Case</w:t>
      </w:r>
    </w:p>
    <w:p>
      <w:pPr>
        <w:pStyle w:val="ListParagraph"/>
        <w:numPr>
          <w:ilvl w:val="0"/>
          <w:numId w:val="1"/>
        </w:numPr>
        <w:spacing w:after="60"/>
      </w:pPr>
      <w:r>
        <w:t xml:space="preserve">One of two firms globally for large Ti + superalloy aero-engine castings; multi-year OEM qualifications are a deep, durable moat</w:t>
      </w:r>
    </w:p>
    <w:p>
      <w:pPr>
        <w:pStyle w:val="ListParagraph"/>
        <w:numPr>
          <w:ilvl w:val="0"/>
          <w:numId w:val="1"/>
        </w:numPr>
        <w:spacing w:after="60"/>
      </w:pPr>
      <w:r>
        <w:t xml:space="preserve">Signal confirmed: Airbus / Safran / Blue Origin / BrahMos wins + a visible revenue/margin inflection</w:t>
      </w:r>
    </w:p>
    <w:p>
      <w:pPr>
        <w:pStyle w:val="ListParagraph"/>
        <w:numPr>
          <w:ilvl w:val="0"/>
          <w:numId w:val="1"/>
        </w:numPr>
        <w:spacing w:after="60"/>
      </w:pPr>
      <w:r>
        <w:t xml:space="preserve">Accelerating global tailwind (aero-engine build + aftermarket, LEAP ramp, supply-constrained hot-section castings)</w:t>
      </w:r>
    </w:p>
    <w:p>
      <w:pPr>
        <w:pStyle w:val="ListParagraph"/>
        <w:numPr>
          <w:ilvl w:val="0"/>
          <w:numId w:val="1"/>
        </w:numPr>
        <w:spacing w:after="60"/>
      </w:pPr>
      <w:r>
        <w:t xml:space="preserve">India import-substitution + defence indigenisation adds a second demand leg</w:t>
      </w:r>
    </w:p>
    <w:p>
      <w:pPr>
        <w:pStyle w:val="Heading1"/>
        <w:spacing w:after="120" w:before="280"/>
      </w:pPr>
      <w:r>
        <w:t xml:space="preserve">Bear Case / Key Risks</w:t>
      </w:r>
    </w:p>
    <w:p>
      <w:pPr>
        <w:pStyle w:val="ListParagraph"/>
        <w:numPr>
          <w:ilvl w:val="0"/>
          <w:numId w:val="1"/>
        </w:numPr>
        <w:spacing w:after="60"/>
      </w:pPr>
      <w:r>
        <w:t xml:space="preserve">~300-350x trailing earnings — a decade of flawless ramp is already priced</w:t>
      </w:r>
    </w:p>
    <w:p>
      <w:pPr>
        <w:pStyle w:val="ListParagraph"/>
        <w:numPr>
          <w:ilvl w:val="0"/>
          <w:numId w:val="1"/>
        </w:numPr>
        <w:spacing w:after="60"/>
      </w:pPr>
      <w:r>
        <w:t xml:space="preserve">Now a ~Rs 35,700 Cr large-cap — no 10x/100x maths off this base</w:t>
      </w:r>
    </w:p>
    <w:p>
      <w:pPr>
        <w:pStyle w:val="ListParagraph"/>
        <w:numPr>
          <w:ilvl w:val="0"/>
          <w:numId w:val="1"/>
        </w:numPr>
        <w:spacing w:after="60"/>
      </w:pPr>
      <w:r>
        <w:t xml:space="preserve">3-yr ROE ~7%; ramp and qualification-to-volume conversion still early</w:t>
      </w:r>
    </w:p>
    <w:p>
      <w:pPr>
        <w:pStyle w:val="ListParagraph"/>
        <w:numPr>
          <w:ilvl w:val="0"/>
          <w:numId w:val="1"/>
        </w:numPr>
        <w:spacing w:after="60"/>
      </w:pPr>
      <w:r>
        <w:t xml:space="preserve">Capex-heavy; execution and OEM-programme timing risk</w:t>
      </w:r>
    </w:p>
    <w:p>
      <w:pPr>
        <w:pStyle w:val="Heading1"/>
        <w:spacing w:after="120" w:before="280"/>
      </w:pPr>
      <w:r>
        <w:t xml:space="preserve">Market-Cap Tier (informational — not a gate in this project)</w:t>
      </w:r>
    </w:p>
    <w:p>
      <w:pPr>
        <w:spacing w:after="120"/>
      </w:pPr>
      <w:r>
        <w:rPr>
          <w:b/>
          <w:bCs/>
        </w:rPr>
        <w:t xml:space="preserve">Large-cap (~Rs 35,700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no · moat: yes · valuation: no  (score 2 / 4)</w:t>
      </w:r>
    </w:p>
    <w:p>
      <w:pPr>
        <w:spacing w:after="120"/>
      </w:pPr>
      <w:r>
        <w:rPr>
          <w:i/>
          <w:iCs/>
          <w:color w:val="666666"/>
          <w:sz w:val="20"/>
          <w:szCs w:val="20"/>
        </w:rPr>
        <w:t xml:space="preserve">tailwind yes (accelerating aero-engine Ti/superalloy demand); tam no (Rs 35,700 Cr large-cap); moat yes (1-of-2 globally, multi-year OEM qualifications); valuation no (~350x trailing). Large-cap named-inflection exception (first-India Ti aero-casting qualification + Airbus/Safran/Blue Origin agreements) keeps it on the max-returns radar, but 10x/100x off Rs 35,700 Cr not credible -&gt; 'neither' (watch).</w:t>
      </w:r>
    </w:p>
    <w:p>
      <w:pPr>
        <w:pStyle w:val="Heading1"/>
        <w:spacing w:after="120" w:before="280"/>
      </w:pPr>
      <w:r>
        <w:t xml:space="preserve">Verdict</w:t>
      </w:r>
    </w:p>
    <w:p>
      <w:pPr>
        <w:spacing w:after="120"/>
      </w:pPr>
      <w:r>
        <w:rPr>
          <w:b/>
          <w:bCs/>
          <w:sz w:val="24"/>
          <w:szCs w:val="24"/>
        </w:rPr>
        <w:t xml:space="preserve">The global-proxy signal is CONFIRMED and the tailwind is accelerating, but ~350x prices the whole decade — 'neither' (watch, not buy), Medium conviction</w:t>
      </w:r>
    </w:p>
    <w:p>
      <w:pPr>
        <w:pStyle w:val="ListParagraph"/>
        <w:numPr>
          <w:ilvl w:val="0"/>
          <w:numId w:val="1"/>
        </w:numPr>
        <w:spacing w:after="60"/>
      </w:pPr>
      <w:r>
        <w:t xml:space="preserve">Tier 4.7 global-proxy of GE Aerospace (commercial-aero aftermarket + LEAP ramp accelerating; suppliers constrained). Model-derived, not user-vetted.</w:t>
      </w:r>
    </w:p>
    <w:p>
      <w:pPr>
        <w:pStyle w:val="ListParagraph"/>
        <w:numPr>
          <w:ilvl w:val="0"/>
          <w:numId w:val="1"/>
        </w:numPr>
        <w:spacing w:after="60"/>
      </w:pPr>
      <w:r>
        <w:t xml:space="preserve">Signal-hypothesis test: CONFIRMED / visible in disclosures — Ti/superalloy qualification wins (Airbus A320/330/350, Safran, Blue Origin BE-4, BrahMos), Q1 FY27 revenue +97%, EBITDA margin 10%-&gt;25.5%, furnace commissioned Sept-2025, borrowing limit raised for capex. Exposure is genuine: PTC/Aerolloy sits on the hot-section casting/forging bottleneck node. Tailwind accelerating.</w:t>
      </w:r>
    </w:p>
    <w:p>
      <w:pPr>
        <w:pStyle w:val="ListParagraph"/>
        <w:numPr>
          <w:ilvl w:val="0"/>
          <w:numId w:val="1"/>
        </w:numPr>
        <w:spacing w:after="60"/>
      </w:pPr>
      <w:r>
        <w:t xml:space="preserve">four_box score 2.0 (tailwind yes; tam no — Rs 35,700 Cr large-cap; moat yes — 1-of-2 globally, multi-year qualifications; valuation no — ~350x). The large-cap named-inflection exception (first-India Ti aero-casting qualification + Airbus/Safran/Blue Origin multi-year agreements + furnace ramp) keeps the name on the max-returns radar, but 10x/100x maths off Rs 35,700 Cr is not credible, so thesis_fit is 'neither' with a 'watch' note.</w:t>
      </w:r>
    </w:p>
    <w:p>
      <w:pPr>
        <w:pStyle w:val="ListParagraph"/>
        <w:numPr>
          <w:ilvl w:val="0"/>
          <w:numId w:val="1"/>
        </w:numPr>
        <w:spacing w:after="60"/>
      </w:pPr>
      <w:r>
        <w:t xml:space="preserve">Conviction Medium: genuine franchise + confirmed inflection + accelerating tailwind, capped hard by a ~350x valuation and an early ramp. No red flag.</w:t>
      </w:r>
    </w:p>
    <w:p>
      <w:pPr>
        <w:pStyle w:val="ListParagraph"/>
        <w:numPr>
          <w:ilvl w:val="0"/>
          <w:numId w:val="1"/>
        </w:numPr>
        <w:spacing w:after="60"/>
      </w:pPr>
      <w:r>
        <w:t xml:space="preserve">First-time read.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2026-09-04T02:30:16.051Z</dcterms:created>
  <dcterms:modified xsi:type="dcterms:W3CDTF">2026-09-04T02:30:16.052Z</dcterms:modified>
</cp:coreProperties>
</file>

<file path=docProps/custom.xml><?xml version="1.0" encoding="utf-8"?>
<Properties xmlns="http://schemas.openxmlformats.org/officeDocument/2006/custom-properties" xmlns:vt="http://schemas.openxmlformats.org/officeDocument/2006/docPropsVTypes"/>
</file>