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Parag Milk Foods Ltd</w:t>
      </w:r>
    </w:p>
    <w:p>
      <w:pPr>
        <w:pBdr>
          <w:bottom w:val="single" w:color="CCCCCC" w:sz="6" w:space="8"/>
        </w:pBdr>
        <w:spacing w:after="200"/>
      </w:pPr>
      <w:r>
        <w:rPr>
          <w:i/>
          <w:iCs/>
          <w:color w:val="666666"/>
          <w:sz w:val="22"/>
          <w:szCs w:val="22"/>
        </w:rPr>
        <w:t xml:space="preserve">Ghee/cheese dairy major with an interesting Avvatar whey-protein premiumization angle, but a long, partly-unresolved governance history including a CFO seat vacant for 19 months</w:t>
      </w:r>
    </w:p>
    <w:p>
      <w:pPr>
        <w:pStyle w:val="Heading1"/>
        <w:spacing w:after="120" w:before="280"/>
      </w:pPr>
      <w:r>
        <w:t xml:space="preserve">Business Overview</w:t>
      </w:r>
    </w:p>
    <w:p>
      <w:pPr>
        <w:spacing w:after="120"/>
      </w:pPr>
      <w:r>
        <w:t xml:space="preserve">Parag Milk Foods is a private dairy-FMCG company (Gowardhan ghee/paneer, Go cheese/UHT milk, Pride of Cows premium milk, Avvatar whey protein/nutrition) with an integrated cow-milk-only sourcing model, holding ~22% share in branded cow ghee and ~35% share in cheese.</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3,140 Cr</w:t>
            </w:r>
          </w:p>
        </w:tc>
      </w:tr>
      <w:tr>
        <w:tc>
          <w:tcPr>
            <w:tcW w:type="dxa" w:w="3200"/>
            <w:shd w:fill="F2F2F2" w:val="clear"/>
          </w:tcPr>
          <w:p>
            <w:r>
              <w:rPr>
                <w:b/>
                <w:bCs/>
              </w:rPr>
              <w:t xml:space="preserve">ROE (3yr avg)</w:t>
            </w:r>
          </w:p>
        </w:tc>
        <w:tc>
          <w:tcPr>
            <w:tcW w:type="dxa" w:w="5800"/>
          </w:tcPr>
          <w:p>
            <w:r>
              <w:t xml:space="preserve">11.8% (low)</w:t>
            </w:r>
          </w:p>
        </w:tc>
      </w:tr>
      <w:tr>
        <w:tc>
          <w:tcPr>
            <w:tcW w:type="dxa" w:w="3200"/>
            <w:shd w:fill="F2F2F2" w:val="clear"/>
          </w:tcPr>
          <w:p>
            <w:r>
              <w:rPr>
                <w:b/>
                <w:bCs/>
              </w:rPr>
              <w:t xml:space="preserve">Revenue growth (5yr CAGR)</w:t>
            </w:r>
          </w:p>
        </w:tc>
        <w:tc>
          <w:tcPr>
            <w:tcW w:type="dxa" w:w="5800"/>
          </w:tcPr>
          <w:p>
            <w:r>
              <w:t xml:space="preserve">7.08% (in line with 7.29% industry median)</w:t>
            </w:r>
          </w:p>
        </w:tc>
      </w:tr>
      <w:tr>
        <w:tc>
          <w:tcPr>
            <w:tcW w:type="dxa" w:w="3200"/>
            <w:shd w:fill="F2F2F2" w:val="clear"/>
          </w:tcPr>
          <w:p>
            <w:r>
              <w:rPr>
                <w:b/>
                <w:bCs/>
              </w:rPr>
              <w:t xml:space="preserve">Profit</w:t>
            </w:r>
          </w:p>
        </w:tc>
        <w:tc>
          <w:tcPr>
            <w:tcW w:type="dxa" w:w="5800"/>
          </w:tcPr>
          <w:p>
            <w:r>
              <w:t xml:space="preserve">~Rs 130 Cr</w:t>
            </w:r>
          </w:p>
        </w:tc>
      </w:tr>
      <w:tr>
        <w:tc>
          <w:tcPr>
            <w:tcW w:type="dxa" w:w="3200"/>
            <w:shd w:fill="F2F2F2" w:val="clear"/>
          </w:tcPr>
          <w:p>
            <w:r>
              <w:rPr>
                <w:b/>
                <w:bCs/>
              </w:rPr>
              <w:t xml:space="preserve">52-week range</w:t>
            </w:r>
          </w:p>
        </w:tc>
        <w:tc>
          <w:tcPr>
            <w:tcW w:type="dxa" w:w="5800"/>
          </w:tcPr>
          <w:p>
            <w:r>
              <w:t xml:space="preserve">Rs 178.3 - 377.2</w:t>
            </w:r>
          </w:p>
        </w:tc>
      </w:tr>
    </w:tbl>
    <w:p>
      <w:pPr>
        <w:spacing w:after="100"/>
      </w:pPr>
    </w:p>
    <w:p>
      <w:pPr>
        <w:spacing w:after="120"/>
      </w:pPr>
      <w:r>
        <w:t xml:space="preserve">Modest, industry-in-line growth (7.08% 5yr CAGR) and a low 3yr-average ROE (11.8%) for a branded-FMCG business. Most recent quarter (Q4FY26, per a trusted user's May-2026 read) shows PAT growth driven largely by treasury income and lower interest expense rather than the core dairy business — volumes actually fell 5% YoY, and the fast-growing new-age segment (Avvatar + Pride of Cows) posted its first sequential revenue dip in 5 quarters.</w:t>
      </w:r>
    </w:p>
    <w:p>
      <w:pPr>
        <w:pStyle w:val="Heading1"/>
        <w:spacing w:after="120" w:before="280"/>
      </w:pPr>
      <w:r>
        <w:t xml:space="preserve">Technical Read (Weekly / Monthly MACD + Bollinger Bands, or RSI/CCI/Williams %R proxy)</w:t>
      </w:r>
    </w:p>
    <w:p>
      <w:pPr>
        <w:spacing w:after="120"/>
      </w:pPr>
      <w:r>
        <w:t xml:space="preserve">Not independently pulled this pass.</w:t>
      </w:r>
    </w:p>
    <w:p>
      <w:pPr>
        <w:pStyle w:val="Heading1"/>
        <w:spacing w:after="120" w:before="280"/>
      </w:pPr>
      <w:r>
        <w:t xml:space="preserve">ValuePickr Community Signal</w:t>
      </w:r>
    </w:p>
    <w:p>
      <w:pPr>
        <w:spacing w:after="120"/>
      </w:pPr>
      <w:r>
        <w:t xml:space="preserve">Read the most recent 50 of 360 fetched posts (2021-12 to 2026-08), single batch, from a very long-running thread. Older posts (2021-2022) document serious, confirmed governance issues: a Nov 2021 IT-department raid that found unaccounted cash/jewellery at a Pune dairy premises linked to the company, a CFO resignation (Dec 2021), and inventory-manipulation concerns that a trusted user (VALUE2017) called a 'value trap' with 'financial shenanigans.' Sentiment partially recovered from 2023-2025 on a genuine premiumization narrative (Avvatar whey protein, BCG-advised transformation, new senior hires), but a trusted user's May-2026 update shows core-business softness (volumes down, inventory days up, CFO down 30% YoY) masked by non-operating income, plus a persistent, unresolved governance gap: the CFO seat has been vacant for 19 months, with the promoter signing as 'Interim CFO' throughout.</w:t>
      </w:r>
    </w:p>
    <w:p>
      <w:pPr>
        <w:spacing w:after="120"/>
      </w:pPr>
      <w:r>
        <w:rPr>
          <w:b/>
          <w:bCs/>
          <w:sz w:val="20"/>
          <w:szCs w:val="20"/>
        </w:rPr>
        <w:t xml:space="preserve">High-conviction call from a top contributor: </w:t>
      </w:r>
      <w:r>
        <w:rPr>
          <w:sz w:val="20"/>
          <w:szCs w:val="20"/>
        </w:rPr>
        <w:t xml:space="preserve">Trusted user VALUE2017 called frequent CFO resignation 'the biggest red flag' in 2022 and labeled the stock a governance-driven 'value trap.' Trusted user DEBASHISH gave a detailed, well-received (28 loves) 2025 business-overview writeup acknowledging the margin gap versus peers like Hatsun is structural (higher procurement cost from traders vs. Hatsun's direct-farmer sourcing). Trusted user sumit680 gave the most recent (May 2026) and most critical update, flagging the CFO vacancy as still ongoing and the quarter's 'real growth' as coming from treasury income, not the core business.</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2022-01-02 — VALUE2017</w:t>
      </w:r>
      <w:r>
        <w:rPr>
          <w:i/>
          <w:iCs/>
          <w:color w:val="666666"/>
          <w:sz w:val="18"/>
          <w:szCs w:val="18"/>
        </w:rPr>
        <w:t xml:space="preserve"> (Parag Milk Foods)</w:t>
      </w:r>
      <w:r>
        <w:rPr>
          <w:sz w:val="20"/>
          <w:szCs w:val="20"/>
        </w:rPr>
        <w:br/>
        <w:t xml:space="preserve">: Called frequent CFO resignation 'the biggest red flag' following a confirmed Nov-2021 IT-department raid finding unaccounted cash, urging investors to revisit their thesis; labeled the stock a governance-driven value trap.</w:t>
      </w:r>
    </w:p>
    <w:p>
      <w:pPr>
        <w:spacing w:after="100"/>
      </w:pPr>
      <w:r>
        <w:rPr>
          <w:b/>
          <w:bCs/>
          <w:sz w:val="20"/>
          <w:szCs w:val="20"/>
        </w:rPr>
        <w:t xml:space="preserve">2026-05-08 — sumit680</w:t>
      </w:r>
      <w:r>
        <w:rPr>
          <w:i/>
          <w:iCs/>
          <w:color w:val="666666"/>
          <w:sz w:val="18"/>
          <w:szCs w:val="18"/>
        </w:rPr>
        <w:t xml:space="preserve"> (Parag Milk Foods)</w:t>
      </w:r>
      <w:r>
        <w:rPr>
          <w:sz w:val="20"/>
          <w:szCs w:val="20"/>
        </w:rPr>
        <w:br/>
        <w:t xml:space="preserve">: Flagged Q4FY26 PAT growth (+23%) as driven by treasury income and lower interest rather than the core business (volumes -5% YoY), the new-age segment's first sequential dip in 5 quarters, rising inventory days, falling CFO, and the CFO seat still vacant with the promoter signing as 'Interim CFO' for 19 consecutive months. Took a 2% portfolio position at Rs 221 despite these concerns.</w:t>
      </w:r>
    </w:p>
    <w:p>
      <w:pPr>
        <w:pStyle w:val="Heading1"/>
        <w:spacing w:after="120" w:before="280"/>
      </w:pPr>
      <w:r>
        <w:t xml:space="preserve">BSE Corporate Actions / Other Red Flags</w:t>
      </w:r>
    </w:p>
    <w:p>
      <w:pPr>
        <w:spacing w:after="120"/>
      </w:pPr>
      <w:r>
        <w:t xml:space="preserve">Nov 2021: Income Tax department raids across ~30 premises linked to the company found ~Rs 2.5 Cr in seized unaccounted cash/jewellery with further amounts alleged; not an active/current action, but a confirmed historical governance event. CFO seat vacant since ~late 2024/2025 with promoter as 'Interim CFO' per the most recent trusted-user update.</w:t>
      </w:r>
    </w:p>
    <w:p>
      <w:pPr>
        <w:pStyle w:val="Heading1"/>
        <w:spacing w:after="120" w:before="280"/>
      </w:pPr>
      <w:r>
        <w:t xml:space="preserve">Bull Case</w:t>
      </w:r>
    </w:p>
    <w:p>
      <w:pPr>
        <w:pStyle w:val="ListParagraph"/>
        <w:numPr>
          <w:ilvl w:val="0"/>
          <w:numId w:val="1"/>
        </w:numPr>
        <w:spacing w:after="60"/>
      </w:pPr>
      <w:r>
        <w:t xml:space="preserve">Avvatar whey-protein and Pride of Cows premium-milk brands are a genuine premiumization angle in a large, under-penetrated protein-nutrition category, targeting ~20% of revenue in 2 years from ~9-10% today</w:t>
      </w:r>
    </w:p>
    <w:p>
      <w:pPr>
        <w:pStyle w:val="ListParagraph"/>
        <w:numPr>
          <w:ilvl w:val="0"/>
          <w:numId w:val="1"/>
        </w:numPr>
        <w:spacing w:after="60"/>
      </w:pPr>
      <w:r>
        <w:t xml:space="preserve">Leading branded market share in ghee (~22%) and cheese (~35%), with a fully cow-milk-integrated sourcing model as a differentiator</w:t>
      </w:r>
    </w:p>
    <w:p>
      <w:pPr>
        <w:pStyle w:val="ListParagraph"/>
        <w:numPr>
          <w:ilvl w:val="0"/>
          <w:numId w:val="1"/>
        </w:numPr>
        <w:spacing w:after="60"/>
      </w:pPr>
      <w:r>
        <w:t xml:space="preserve">Recent price hikes on Avvatar (~35% in Jul 2026) could meaningfully help margins if retained rather than competed away, per management's own (guarded) concall commentary</w:t>
      </w:r>
    </w:p>
    <w:p>
      <w:pPr>
        <w:pStyle w:val="ListParagraph"/>
        <w:numPr>
          <w:ilvl w:val="0"/>
          <w:numId w:val="1"/>
        </w:numPr>
        <w:spacing w:after="60"/>
      </w:pPr>
      <w:r>
        <w:t xml:space="preserve">Strategic collaboration with BCG since 2023 for operational-efficiency transformation</w:t>
      </w:r>
    </w:p>
    <w:p>
      <w:pPr>
        <w:pStyle w:val="Heading1"/>
        <w:spacing w:after="120" w:before="280"/>
      </w:pPr>
      <w:r>
        <w:t xml:space="preserve">Bear Case / Key Risks</w:t>
      </w:r>
    </w:p>
    <w:p>
      <w:pPr>
        <w:pStyle w:val="ListParagraph"/>
        <w:numPr>
          <w:ilvl w:val="0"/>
          <w:numId w:val="1"/>
        </w:numPr>
        <w:spacing w:after="60"/>
      </w:pPr>
      <w:r>
        <w:t xml:space="preserve">CFO seat has been vacant for 19 consecutive months as of the most recent update, with the promoter self-signing as 'Interim CFO' — a persistent, unresolved governance gap, not a one-off historical event</w:t>
      </w:r>
    </w:p>
    <w:p>
      <w:pPr>
        <w:pStyle w:val="ListParagraph"/>
        <w:numPr>
          <w:ilvl w:val="0"/>
          <w:numId w:val="1"/>
        </w:numPr>
        <w:spacing w:after="60"/>
      </w:pPr>
      <w:r>
        <w:t xml:space="preserve">Confirmed Nov-2021 IT raid found unaccounted cash; combined with historical inventory-manipulation concerns, this is a real, documented governance pattern, even if several years old now</w:t>
      </w:r>
    </w:p>
    <w:p>
      <w:pPr>
        <w:pStyle w:val="ListParagraph"/>
        <w:numPr>
          <w:ilvl w:val="0"/>
          <w:numId w:val="1"/>
        </w:numPr>
        <w:spacing w:after="60"/>
      </w:pPr>
      <w:r>
        <w:t xml:space="preserve">Core dairy business is currently weak by the community's own most recent read: volumes -5% YoY, inventory days rising, operating cash flow falling, with reported profit growth actually coming from treasury/interest income rather than operations</w:t>
      </w:r>
    </w:p>
    <w:p>
      <w:pPr>
        <w:pStyle w:val="ListParagraph"/>
        <w:numPr>
          <w:ilvl w:val="0"/>
          <w:numId w:val="1"/>
        </w:numPr>
        <w:spacing w:after="60"/>
      </w:pPr>
      <w:r>
        <w:t xml:space="preserve">Structurally lower gross margins than best-in-class peers (e.g., Hatsun) due to trader-based rather than direct-farmer milk procurement — a hard-to-fix cost disadvantage</w:t>
      </w:r>
    </w:p>
    <w:p>
      <w:pPr>
        <w:pStyle w:val="ListParagraph"/>
        <w:numPr>
          <w:ilvl w:val="0"/>
          <w:numId w:val="1"/>
        </w:numPr>
        <w:spacing w:after="60"/>
      </w:pPr>
      <w:r>
        <w:t xml:space="preserve">Modest 7.08% 5yr revenue CAGR and low 11.8% 3yr ROE don't support a 10x/100x thesis on fundamentals alone even setting governance aside</w:t>
      </w:r>
    </w:p>
    <w:p>
      <w:pPr>
        <w:pStyle w:val="Heading1"/>
        <w:spacing w:after="120" w:before="280"/>
      </w:pPr>
      <w:r>
        <w:t xml:space="preserve">Market-Cap Tier (informational — not a gate in this project)</w:t>
      </w:r>
    </w:p>
    <w:p>
      <w:pPr>
        <w:spacing w:after="120"/>
      </w:pPr>
      <w:r>
        <w:rPr>
          <w:b/>
          <w:bCs/>
        </w:rPr>
        <w:t xml:space="preserve">Small-cap (~Rs 3,140 Cr)</w:t>
      </w:r>
    </w:p>
    <w:p>
      <w:pPr>
        <w:pStyle w:val="Heading1"/>
        <w:spacing w:after="120" w:before="280"/>
      </w:pPr>
      <w:r>
        <w:t xml:space="preserve">Thesis Fit</w:t>
      </w:r>
    </w:p>
    <w:p>
      <w:pPr>
        <w:spacing w:after="120"/>
      </w:pPr>
      <w:r>
        <w:rPr>
          <w:b/>
          <w:bCs/>
          <w:sz w:val="24"/>
          <w:szCs w:val="24"/>
        </w:rPr>
        <w:t xml:space="preserve">neither</w:t>
      </w:r>
    </w:p>
    <w:p>
      <w:pPr>
        <w:pStyle w:val="Heading1"/>
        <w:spacing w:after="120" w:before="280"/>
      </w:pPr>
      <w:r>
        <w:t xml:space="preserve">Verdict</w:t>
      </w:r>
    </w:p>
    <w:p>
      <w:pPr>
        <w:spacing w:after="120"/>
      </w:pPr>
      <w:r>
        <w:rPr>
          <w:b/>
          <w:bCs/>
          <w:sz w:val="24"/>
          <w:szCs w:val="24"/>
        </w:rPr>
        <w:t xml:space="preserve">An interesting premiumization narrative sitting on top of a genuinely weak current core business and a persistent, unresolved CFO-vacancy governance gap</w:t>
      </w:r>
    </w:p>
    <w:p>
      <w:pPr>
        <w:pStyle w:val="ListParagraph"/>
        <w:numPr>
          <w:ilvl w:val="0"/>
          <w:numId w:val="1"/>
        </w:numPr>
        <w:spacing w:after="60"/>
      </w:pPr>
      <w:r>
        <w:t xml:space="preserve">Both trailing fundamentals (7% revenue CAGR, 12% ROE) and the most recent quarter (volumes down, core-business profit weak, masked by non-operating income) are unexciting, and the governance overhang (CFO vacancy for 19 months, historical IT raid) is real and ongoing rather than fully resolved</w:t>
      </w:r>
    </w:p>
    <w:p>
      <w:pPr>
        <w:pStyle w:val="ListParagraph"/>
        <w:numPr>
          <w:ilvl w:val="0"/>
          <w:numId w:val="1"/>
        </w:numPr>
        <w:spacing w:after="60"/>
      </w:pPr>
      <w:r>
        <w:t xml:space="preserve">The Avvatar/premiumization angle is genuine optionality but remains a small (~9-10%) share of revenue today, not yet large enough to offset the core-business softness and governance concerns</w:t>
      </w:r>
    </w:p>
    <w:p>
      <w:pPr>
        <w:pStyle w:val="ListParagraph"/>
        <w:numPr>
          <w:ilvl w:val="0"/>
          <w:numId w:val="1"/>
        </w:numPr>
        <w:spacing w:after="60"/>
      </w:pPr>
      <w:r>
        <w:t xml:space="preserve">This sits closer to 'neither' than to an unconfirmed inflection given the recent quarter moved the wrong direction on the metrics that matter (volumes, inventory, operating cash flow)</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2026-08-26T17:12:18.748Z</dcterms:created>
  <dcterms:modified xsi:type="dcterms:W3CDTF">2026-08-26T17:12:18.748Z</dcterms:modified>
</cp:coreProperties>
</file>

<file path=docProps/custom.xml><?xml version="1.0" encoding="utf-8"?>
<Properties xmlns="http://schemas.openxmlformats.org/officeDocument/2006/custom-properties" xmlns:vt="http://schemas.openxmlformats.org/officeDocument/2006/docPropsVTypes"/>
</file>