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Paramount Communications Ltd</w:t>
      </w:r>
    </w:p>
    <w:p>
      <w:pPr>
        <w:pBdr>
          <w:bottom w:val="single" w:color="CCCCCC" w:sz="6" w:space="8"/>
        </w:pBdr>
        <w:spacing w:after="200"/>
      </w:pPr>
      <w:r>
        <w:rPr>
          <w:i/>
          <w:iCs/>
          <w:color w:val="666666"/>
          <w:sz w:val="22"/>
          <w:szCs w:val="22"/>
        </w:rPr>
        <w:t xml:space="preserve">Cheap, fast-growing wires &amp; cables exporter riding a hot sector -- but carrying an ED-seized shareholding (Mahadev case), contradictory management commentary, an independent-director exit and five rounds of dilution</w:t>
      </w:r>
    </w:p>
    <w:p>
      <w:pPr>
        <w:shd w:fill="FFF0F0" w:val="clear"/>
        <w:spacing w:after="200"/>
      </w:pPr>
      <w:r>
        <w:rPr>
          <w:b/>
          <w:bCs/>
          <w:color w:val="B8860B"/>
          <w:sz w:val="22"/>
          <w:szCs w:val="22"/>
        </w:rPr>
        <w:t xml:space="preserve">RED FLAG TIER: HIGH CAUTION — </w:t>
      </w:r>
      <w:r>
        <w:rPr>
          <w:sz w:val="20"/>
          <w:szCs w:val="20"/>
        </w:rPr>
        <w:t xml:space="preserve">ED-seized shareholding (via Zenith Multi Trading DMCC) linked to the Mahadev Betting App / Tibrewala money-laundering case; contradictory management commentary on margin compression; independent-director resignation immediately before FY25 results; ~5 rounds of equity dilution with chronically weak cash conversion.</w:t>
      </w:r>
    </w:p>
    <w:p>
      <w:pPr>
        <w:pStyle w:val="Heading1"/>
        <w:spacing w:after="120" w:before="280"/>
      </w:pPr>
      <w:r>
        <w:t xml:space="preserve">Business Overview</w:t>
      </w:r>
    </w:p>
    <w:p>
      <w:pPr>
        <w:spacing w:after="120"/>
      </w:pPr>
      <w:r>
        <w:t xml:space="preserve">Paramount Communications makes power and telecom cables and wires, with roughly 37-50% of revenue from exports (largely the US, sold B2C via distributors) and the rest domestic. The wires &amp; cables sector has a strong multi-year tailwind (Crisil: ~15-16% domestic and ~20-22% export growth in FY26).</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1,778 Cr</w:t>
            </w:r>
          </w:p>
        </w:tc>
      </w:tr>
      <w:tr>
        <w:tc>
          <w:tcPr>
            <w:tcW w:type="dxa" w:w="3200"/>
            <w:shd w:fill="F2F2F2" w:val="clear"/>
          </w:tcPr>
          <w:p>
            <w:r>
              <w:rPr>
                <w:b/>
                <w:bCs/>
              </w:rPr>
              <w:t xml:space="preserve">ROCE / ROE</w:t>
            </w:r>
          </w:p>
        </w:tc>
        <w:tc>
          <w:tcPr>
            <w:tcW w:type="dxa" w:w="5800"/>
          </w:tcPr>
          <w:p>
            <w:r>
              <w:t xml:space="preserve">~16.6% / ~13%</w:t>
            </w:r>
          </w:p>
        </w:tc>
      </w:tr>
      <w:tr>
        <w:tc>
          <w:tcPr>
            <w:tcW w:type="dxa" w:w="3200"/>
            <w:shd w:fill="F2F2F2" w:val="clear"/>
          </w:tcPr>
          <w:p>
            <w:r>
              <w:rPr>
                <w:b/>
                <w:bCs/>
              </w:rPr>
              <w:t xml:space="preserve">Revenue / PAT (FY25)</w:t>
            </w:r>
          </w:p>
        </w:tc>
        <w:tc>
          <w:tcPr>
            <w:tcW w:type="dxa" w:w="5800"/>
          </w:tcPr>
          <w:p>
            <w:r>
              <w:t xml:space="preserve">~Rs 1,500 Cr / ~Rs 97 Cr; revenue +47% YoY (vs 30% guidance)</w:t>
            </w:r>
          </w:p>
        </w:tc>
      </w:tr>
      <w:tr>
        <w:tc>
          <w:tcPr>
            <w:tcW w:type="dxa" w:w="3200"/>
            <w:shd w:fill="F2F2F2" w:val="clear"/>
          </w:tcPr>
          <w:p>
            <w:r>
              <w:rPr>
                <w:b/>
                <w:bCs/>
              </w:rPr>
              <w:t xml:space="preserve">Revenue CAGR</w:t>
            </w:r>
          </w:p>
        </w:tc>
        <w:tc>
          <w:tcPr>
            <w:tcW w:type="dxa" w:w="5800"/>
          </w:tcPr>
          <w:p>
            <w:r>
              <w:t xml:space="preserve">~20.8% (industry median ~4.6%)</w:t>
            </w:r>
          </w:p>
        </w:tc>
      </w:tr>
      <w:tr>
        <w:tc>
          <w:tcPr>
            <w:tcW w:type="dxa" w:w="3200"/>
            <w:shd w:fill="F2F2F2" w:val="clear"/>
          </w:tcPr>
          <w:p>
            <w:r>
              <w:rPr>
                <w:b/>
                <w:bCs/>
              </w:rPr>
              <w:t xml:space="preserve">Margins</w:t>
            </w:r>
          </w:p>
        </w:tc>
        <w:tc>
          <w:tcPr>
            <w:tcW w:type="dxa" w:w="5800"/>
          </w:tcPr>
          <w:p>
            <w:r>
              <w:t xml:space="preserve">EBITDA margin compressed from ~8-9% to ~6% (cash-discount / topline-first strategy)</w:t>
            </w:r>
          </w:p>
        </w:tc>
      </w:tr>
      <w:tr>
        <w:tc>
          <w:tcPr>
            <w:tcW w:type="dxa" w:w="3200"/>
            <w:shd w:fill="F2F2F2" w:val="clear"/>
          </w:tcPr>
          <w:p>
            <w:r>
              <w:rPr>
                <w:b/>
                <w:bCs/>
              </w:rPr>
              <w:t xml:space="preserve">Debt</w:t>
            </w:r>
          </w:p>
        </w:tc>
        <w:tc>
          <w:tcPr>
            <w:tcW w:type="dxa" w:w="5800"/>
          </w:tcPr>
          <w:p>
            <w:r>
              <w:t xml:space="preserve">Near debt-free (long-term debt cut to ~Rs 1.5 Cr)</w:t>
            </w:r>
          </w:p>
        </w:tc>
      </w:tr>
      <w:tr>
        <w:tc>
          <w:tcPr>
            <w:tcW w:type="dxa" w:w="3200"/>
            <w:shd w:fill="F2F2F2" w:val="clear"/>
          </w:tcPr>
          <w:p>
            <w:r>
              <w:rPr>
                <w:b/>
                <w:bCs/>
              </w:rPr>
              <w:t xml:space="preserve">Cash conversion</w:t>
            </w:r>
          </w:p>
        </w:tc>
        <w:tc>
          <w:tcPr>
            <w:tcW w:type="dxa" w:w="5800"/>
          </w:tcPr>
          <w:p>
            <w:r>
              <w:t xml:space="preserve">5-year average CFO/EBITDA ~20% -- poor</w:t>
            </w:r>
          </w:p>
        </w:tc>
      </w:tr>
      <w:tr>
        <w:tc>
          <w:tcPr>
            <w:tcW w:type="dxa" w:w="3200"/>
            <w:shd w:fill="F2F2F2" w:val="clear"/>
          </w:tcPr>
          <w:p>
            <w:r>
              <w:rPr>
                <w:b/>
                <w:bCs/>
              </w:rPr>
              <w:t xml:space="preserve">Capital raising</w:t>
            </w:r>
          </w:p>
        </w:tc>
        <w:tc>
          <w:tcPr>
            <w:tcW w:type="dxa" w:w="5800"/>
          </w:tcPr>
          <w:p>
            <w:r>
              <w:t xml:space="preserve">FCCB up to Rs 135 Cr + promoter warrants at Rs 60 (2025); ~5 dilutions historically</w:t>
            </w:r>
          </w:p>
        </w:tc>
      </w:tr>
    </w:tbl>
    <w:p>
      <w:pPr>
        <w:spacing w:after="100"/>
      </w:pPr>
    </w:p>
    <w:p>
      <w:pPr>
        <w:spacing w:after="120"/>
      </w:pPr>
      <w:r>
        <w:t xml:space="preserve">Growth is real (FY25 revenue +47%, strong export order book) and the valuation is cheap (~mid-teens P/E) for the sector. But margins have fallen sharply as management chases topline with cash discounts, cash conversion is chronically weak so growth needs continuous outside capital, and management's explanations for the margin drop (blaming a copper-price fall that did not happen; blaming higher capacity utilisation) were described by multiple trusted users as contradictory and evasive.</w:t>
      </w:r>
    </w:p>
    <w:p>
      <w:pPr>
        <w:pStyle w:val="Heading1"/>
        <w:spacing w:after="120" w:before="280"/>
      </w:pPr>
      <w:r>
        <w:t xml:space="preserve">Technical Read (Weekly / Monthly MACD + Bollinger Bands, or RSI/CCI/Williams %R proxy)</w:t>
      </w:r>
    </w:p>
    <w:p>
      <w:pPr>
        <w:spacing w:after="120"/>
      </w:pPr>
      <w:r>
        <w:t xml:space="preserve">Not pulled. Stock down ~40% over the year on the ED-seizure news, US metal-tariff worries and stalled PAT growth; some recovery expected on tariff refunds (~Rs 8 Cr received, ~Rs 20-22 Cr more due) and a greenfield unit starting Q4 FY26/Q1 FY27.</w:t>
      </w:r>
    </w:p>
    <w:p>
      <w:pPr>
        <w:pStyle w:val="Heading1"/>
        <w:spacing w:after="120" w:before="280"/>
      </w:pPr>
      <w:r>
        <w:t xml:space="preserve">ValuePickr Community Signal</w:t>
      </w:r>
    </w:p>
    <w:p>
      <w:pPr>
        <w:spacing w:after="120"/>
      </w:pPr>
      <w:r>
        <w:t xml:space="preserve">Active thread, 50 of ~86 posts read. Sentiment split and turning cautious. The Enforcement Directorate has seized a stake in Paramount held via Zenith Multi Trading DMCC, linked to the Mahadev Betting App / Tibrewala money-laundering case in which Paramount was among ~10-14 stocks allegedly used for pump-and-dump (thread consensus is management is not directly implicated, but the ED now holds shares). An independent director resigned just before the FY25 results. Bulls (vnktshb, Tushar_Gupta1) emphasise 'cheapest W&amp;C stock in India' and 47% growth; sceptics (Vansh_Dhelia, talk2ajay) call the margin commentary and governance 'very big red flags' and note peers like RR Kabel grow fast without the cash-flow problems.</w:t>
      </w:r>
    </w:p>
    <w:p>
      <w:pPr>
        <w:spacing w:after="120"/>
      </w:pPr>
      <w:r>
        <w:rPr>
          <w:b/>
          <w:bCs/>
          <w:sz w:val="20"/>
          <w:szCs w:val="20"/>
        </w:rPr>
        <w:t xml:space="preserve">High-conviction call from a top contributor: </w:t>
      </w:r>
      <w:r>
        <w:rPr>
          <w:sz w:val="20"/>
          <w:szCs w:val="20"/>
        </w:rPr>
        <w:t xml:space="preserve">Vansh_Dhelia (trusted, elevated) is explicitly negative on governance ('very serious governance issue... very big red flags'). Souresh_Pal (elevated) started constructive on valuation but later flagged that the margin transition means 'no PAT growth for one more year'. pranavpallod12 (elevated): 'never forget margin of safety'. No trusted buy conviction stands.</w:t>
      </w:r>
    </w:p>
    <w:p>
      <w:pPr>
        <w:pStyle w:val="Heading1"/>
        <w:spacing w:after="120" w:before="280"/>
      </w:pPr>
      <w:r>
        <w:t xml:space="preserve">Trusted-User Signals (Ongoing)</w:t>
      </w:r>
    </w:p>
    <w:p>
      <w:pPr>
        <w:spacing w:after="120"/>
      </w:pPr>
      <w:r>
        <w:rPr>
          <w:i/>
          <w:iCs/>
          <w:color w:val="666666"/>
          <w:sz w:val="18"/>
          <w:szCs w:val="18"/>
        </w:rPr>
        <w:t xml:space="preserve">Every time a trusted user expresses clear conviction on this stock, most recent first — this section accumulates over time, it isn't a one-time snapshot.</w:t>
      </w:r>
    </w:p>
    <w:p>
      <w:pPr>
        <w:spacing w:after="100"/>
      </w:pPr>
      <w:r>
        <w:rPr>
          <w:b/>
          <w:bCs/>
          <w:sz w:val="20"/>
          <w:szCs w:val="20"/>
        </w:rPr>
        <w:t xml:space="preserve">2026-05-23 — Souresh_Pal</w:t>
      </w:r>
      <w:r>
        <w:rPr>
          <w:i/>
          <w:iCs/>
          <w:color w:val="666666"/>
          <w:sz w:val="18"/>
          <w:szCs w:val="18"/>
        </w:rPr>
        <w:t xml:space="preserve"> (Paramount Communication)</w:t>
      </w:r>
      <w:r>
        <w:rPr>
          <w:sz w:val="20"/>
          <w:szCs w:val="20"/>
        </w:rPr>
        <w:br/>
        <w:t xml:space="preserve">: Turned cautious -- the 9% -&gt; 6% margin transition implies no PAT growth for another year despite strong topline</w:t>
      </w:r>
    </w:p>
    <w:p>
      <w:pPr>
        <w:spacing w:after="100"/>
      </w:pPr>
      <w:r>
        <w:rPr>
          <w:b/>
          <w:bCs/>
          <w:sz w:val="20"/>
          <w:szCs w:val="20"/>
        </w:rPr>
        <w:t xml:space="preserve">2026-05-27 — Vansh_Dhelia</w:t>
      </w:r>
      <w:r>
        <w:rPr>
          <w:i/>
          <w:iCs/>
          <w:color w:val="666666"/>
          <w:sz w:val="18"/>
          <w:szCs w:val="18"/>
        </w:rPr>
        <w:t xml:space="preserve"> (Paramount Communication)</w:t>
      </w:r>
      <w:r>
        <w:rPr>
          <w:sz w:val="20"/>
          <w:szCs w:val="20"/>
        </w:rPr>
        <w:br/>
        <w:t xml:space="preserve">: NEGATIVE -- contradictory margin commentary + independent-director resignation before results + serial dilution + weak cash conversion = 'very serious governance issue... very big red flags'</w:t>
      </w:r>
    </w:p>
    <w:p>
      <w:pPr>
        <w:pStyle w:val="Heading1"/>
        <w:spacing w:after="120" w:before="280"/>
      </w:pPr>
      <w:r>
        <w:t xml:space="preserve">BSE Corporate Actions / Other Red Flags</w:t>
      </w:r>
    </w:p>
    <w:p>
      <w:pPr>
        <w:spacing w:after="120"/>
      </w:pPr>
      <w:r>
        <w:t xml:space="preserve">ED has seized a shareholding in Paramount (via Zenith Multi Trading DMCC) connected to the Mahadev Betting App / Tibrewala money-laundering investigation; the company itself is not the target but the stock was named among manipulated scrips around its early-2024 top. Independent director resigned shortly before FY25 results. Company skipped concalls in weak quarters (Q2 FY26).</w:t>
      </w:r>
    </w:p>
    <w:p>
      <w:pPr>
        <w:pStyle w:val="Heading1"/>
        <w:spacing w:after="120" w:before="280"/>
      </w:pPr>
      <w:r>
        <w:t xml:space="preserve">Bull Case</w:t>
      </w:r>
    </w:p>
    <w:p>
      <w:pPr>
        <w:pStyle w:val="ListParagraph"/>
        <w:numPr>
          <w:ilvl w:val="0"/>
          <w:numId w:val="1"/>
        </w:numPr>
        <w:spacing w:after="60"/>
      </w:pPr>
      <w:r>
        <w:t xml:space="preserve">Cheap (~mid-teens P/E) for a sector with ~15-22% structural growth</w:t>
      </w:r>
    </w:p>
    <w:p>
      <w:pPr>
        <w:pStyle w:val="ListParagraph"/>
        <w:numPr>
          <w:ilvl w:val="0"/>
          <w:numId w:val="1"/>
        </w:numPr>
        <w:spacing w:after="60"/>
      </w:pPr>
      <w:r>
        <w:t xml:space="preserve">FY25 revenue +47%, beating a 30% guidance; ~37%+ from US exports where larger domestic peers have little presence</w:t>
      </w:r>
    </w:p>
    <w:p>
      <w:pPr>
        <w:pStyle w:val="ListParagraph"/>
        <w:numPr>
          <w:ilvl w:val="0"/>
          <w:numId w:val="1"/>
        </w:numPr>
        <w:spacing w:after="60"/>
      </w:pPr>
      <w:r>
        <w:t xml:space="preserve">Near debt-free; tariff refunds (~Rs 28-30 Cr total) and a new greenfield unit are near-term positives</w:t>
      </w:r>
    </w:p>
    <w:p>
      <w:pPr>
        <w:pStyle w:val="ListParagraph"/>
        <w:numPr>
          <w:ilvl w:val="0"/>
          <w:numId w:val="1"/>
        </w:numPr>
        <w:spacing w:after="60"/>
      </w:pPr>
      <w:r>
        <w:t xml:space="preserve">Copper up-cycle and strong export order book</w:t>
      </w:r>
    </w:p>
    <w:p>
      <w:pPr>
        <w:pStyle w:val="Heading1"/>
        <w:spacing w:after="120" w:before="280"/>
      </w:pPr>
      <w:r>
        <w:t xml:space="preserve">Bear Case / Key Risks</w:t>
      </w:r>
    </w:p>
    <w:p>
      <w:pPr>
        <w:pStyle w:val="ListParagraph"/>
        <w:numPr>
          <w:ilvl w:val="0"/>
          <w:numId w:val="1"/>
        </w:numPr>
        <w:spacing w:after="60"/>
      </w:pPr>
      <w:r>
        <w:t xml:space="preserve">ED-seized shareholding tied to the Mahadev/Tibrewala money-laundering case -- a persistent overhang</w:t>
      </w:r>
    </w:p>
    <w:p>
      <w:pPr>
        <w:pStyle w:val="ListParagraph"/>
        <w:numPr>
          <w:ilvl w:val="0"/>
          <w:numId w:val="1"/>
        </w:numPr>
        <w:spacing w:after="60"/>
      </w:pPr>
      <w:r>
        <w:t xml:space="preserve">Management commentary on the margin collapse was contradictory (wrong on copper prices; counter-intuitive on utilisation) -- trust and governance concern</w:t>
      </w:r>
    </w:p>
    <w:p>
      <w:pPr>
        <w:pStyle w:val="ListParagraph"/>
        <w:numPr>
          <w:ilvl w:val="0"/>
          <w:numId w:val="1"/>
        </w:numPr>
        <w:spacing w:after="60"/>
      </w:pPr>
      <w:r>
        <w:t xml:space="preserve">Independent director resigned just before FY25 results</w:t>
      </w:r>
    </w:p>
    <w:p>
      <w:pPr>
        <w:pStyle w:val="ListParagraph"/>
        <w:numPr>
          <w:ilvl w:val="0"/>
          <w:numId w:val="1"/>
        </w:numPr>
        <w:spacing w:after="60"/>
      </w:pPr>
      <w:r>
        <w:t xml:space="preserve">EBITDA margin down from ~8-9% to ~6%; PAT growth stalled; ~5 rounds of dilution and chronic weak cash conversion mean growth depends on continuous capital raising</w:t>
      </w:r>
    </w:p>
    <w:p>
      <w:pPr>
        <w:pStyle w:val="ListParagraph"/>
        <w:numPr>
          <w:ilvl w:val="0"/>
          <w:numId w:val="1"/>
        </w:numPr>
        <w:spacing w:after="60"/>
      </w:pPr>
      <w:r>
        <w:t xml:space="preserve">Peers (RR Kabel) deliver comparable growth without the cash-flow and governance issues</w:t>
      </w:r>
    </w:p>
    <w:p>
      <w:pPr>
        <w:pStyle w:val="Heading1"/>
        <w:spacing w:after="120" w:before="280"/>
      </w:pPr>
      <w:r>
        <w:t xml:space="preserve">Market-Cap Tier (informational — not a gate in this project)</w:t>
      </w:r>
    </w:p>
    <w:p>
      <w:pPr>
        <w:spacing w:after="120"/>
      </w:pPr>
      <w:r>
        <w:rPr>
          <w:b/>
          <w:bCs/>
        </w:rPr>
        <w:t xml:space="preserve">Small-cap (~Rs 1,778 Cr)</w:t>
      </w:r>
    </w:p>
    <w:p>
      <w:pPr>
        <w:pStyle w:val="Heading1"/>
        <w:spacing w:after="120" w:before="280"/>
      </w:pPr>
      <w:r>
        <w:t xml:space="preserve">Thesis Fit</w:t>
      </w:r>
    </w:p>
    <w:p>
      <w:pPr>
        <w:spacing w:after="120"/>
      </w:pPr>
      <w:r>
        <w:rPr>
          <w:b/>
          <w:bCs/>
          <w:sz w:val="24"/>
          <w:szCs w:val="24"/>
        </w:rPr>
        <w:t xml:space="preserve">neither</w:t>
      </w:r>
    </w:p>
    <w:p>
      <w:pPr>
        <w:pStyle w:val="Heading1"/>
        <w:spacing w:after="120" w:before="280"/>
      </w:pPr>
      <w:r>
        <w:t xml:space="preserve">Verdict</w:t>
      </w:r>
    </w:p>
    <w:p>
      <w:pPr>
        <w:spacing w:after="120"/>
      </w:pPr>
      <w:r>
        <w:rPr>
          <w:b/>
          <w:bCs/>
          <w:sz w:val="24"/>
          <w:szCs w:val="24"/>
        </w:rPr>
        <w:t xml:space="preserve">Real sector tailwind and a cheap multiple, but an ED-seized shareholding, contradictory management commentary, an ID exit and serial dilution stack up to too many red flags for a clean multi-bagger call</w:t>
      </w:r>
    </w:p>
    <w:p>
      <w:pPr>
        <w:pStyle w:val="ListParagraph"/>
        <w:numPr>
          <w:ilvl w:val="0"/>
          <w:numId w:val="1"/>
        </w:numPr>
        <w:spacing w:after="60"/>
      </w:pPr>
      <w:r>
        <w:t xml:space="preserve">HIGH CAUTION on governance: ED-seized shares linked to the Mahadev case, evasive/contradictory margin explanations, an independent-director resignation before results, ~5 dilutions and poor cash conversion</w:t>
      </w:r>
    </w:p>
    <w:p>
      <w:pPr>
        <w:pStyle w:val="ListParagraph"/>
        <w:numPr>
          <w:ilvl w:val="0"/>
          <w:numId w:val="1"/>
        </w:numPr>
        <w:spacing w:after="60"/>
      </w:pPr>
      <w:r>
        <w:t xml:space="preserve">The growth and valuation are genuinely attractive, but margin compression has stalled PAT and the governance overhang caps what the stock can re-rate to</w:t>
      </w:r>
    </w:p>
    <w:p>
      <w:pPr>
        <w:pStyle w:val="ListParagraph"/>
        <w:numPr>
          <w:ilvl w:val="0"/>
          <w:numId w:val="1"/>
        </w:numPr>
        <w:spacing w:after="60"/>
      </w:pPr>
      <w:r>
        <w:t xml:space="preserve">Thesis fit 'neither', conviction Low. No revisit; re-check only if governance clears and margins/cash flow recover</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2026-08-27T16:50:30.455Z</dcterms:created>
  <dcterms:modified xsi:type="dcterms:W3CDTF">2026-08-27T16:50:30.455Z</dcterms:modified>
</cp:coreProperties>
</file>

<file path=docProps/custom.xml><?xml version="1.0" encoding="utf-8"?>
<Properties xmlns="http://schemas.openxmlformats.org/officeDocument/2006/custom-properties" xmlns:vt="http://schemas.openxmlformats.org/officeDocument/2006/docPropsVTypes"/>
</file>