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Premier Polyfilm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Small, near-debt-free maker of vinyl flooring, PVC sheeting and artificial leather cloth with ~30% ROCE and an accelerating recent quarter — but a commoditised product set, ~11% historical revenue CAGR, and a full ~30x valuation near an all-time high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Premier Polyfilm manufactures vinyl (PVC) flooring, PVC sheeting and artificial leather cloth for industrial and consumer applications (automotive interiors, footwear, upholstery, flooring). Promoter group (including D L Millar &amp; Co Ltd) has been adding to its stake in the open market.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983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~30.8% / ~24.0%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5800"/>
          </w:tcPr>
          <w:p>
            <w:r>
              <w:t xml:space="preserve">5-yr profit CAGR ~30.5%; 5-yr revenue CAGR ~11.6%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</w:t>
            </w:r>
          </w:p>
        </w:tc>
        <w:tc>
          <w:tcPr>
            <w:tcW w:type="dxa" w:w="5800"/>
          </w:tcPr>
          <w:p>
            <w:r>
              <w:t xml:space="preserve">~Rs 310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100.1 Cr (+34.4% YoY); PAT Rs 9.08 Cr (+51.3%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Almost debt-free; ICRA long-term rating upgraded to A- (Stable) in Jun 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</w:t>
            </w:r>
          </w:p>
        </w:tc>
        <w:tc>
          <w:tcPr>
            <w:tcW w:type="dxa" w:w="5800"/>
          </w:tcPr>
          <w:p>
            <w:r>
              <w:t xml:space="preserve">Near a 52-week / all-time high; ~30x trailing earnings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clean, high-return small-cap: ~30% ROCE, near-zero debt, promoter buying, a rating upgrade, and a strong Q1 FY27 (+34% revenue, +51% PAT). But the through-cycle picture is a slow grower — revenue has compounded at only ~11.6% over five years — in a commoditised category (vinyl flooring, PVC sheeting, leather cloth) that competes with imports and with peers like Responsive Industries and Marvel Vinyls. The high ROCE points to a defensible niche/cost position, but there is no evidence of a structural demand acceleration, and the single strong quarter is against a soft base. At ~30x near an all-time high, the multiple already reflects the good news.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within ~2% of its 52-week high (per third-party commentary); not independently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(forum search returned nothing in categories 11/14/17). The lead is from an untrusted X-triage batch. No community validation; the only external commentary is generic 'strong returns / attractive valuation' screener-style notes.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(no VP thread; untrusted X lead only).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issue. Promoter group entity D L Millar &amp; Co raised its holding via open-market purchases in Jun 2026. ICRA rating upgraded to A- (Stable), Jun 2026. No red_flag_tier.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~30% ROCE / ~24% ROE, almost debt-free, with a rating upgrade and promoter open-market buying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Q1 FY27: revenue +34%, PAT +51%; 5-yr profit CAGR ~30%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Import-substitution angle in PVC leather cloth / vinyl flooring; diversified end-uses (auto, footwear, flooring)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 product set (vinyl flooring, PVC sheeting, leather cloth) competing with imports and established peers; no evident moat beyond a niche cost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~11.6% revenue CAGR over 5 years — the recent +34% quarter is against a soft base, not a proven structural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~30x trailing near an all-time high leaves little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1,000 Cr market cap with no realistic 10x/100x path; lead is from an untrusted X handle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983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(GDP-ish end-demand; mild import substitution; one strong quarter on a soft base). tam no (Rs 1,000 Cr mcap in commoditised vinyl; ~11% historical CAGR gives no 10x path). moat weak (~30% ROCE implies a niche cost edge, but the product is replaceable and growth is slow). valuation weak (~30x near an all-time high for an ~11%-grower).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 from an untrusted X handle. four_box score 1.5 -&gt; thesis_fit 'neither', hard. A genuinely clean, high-ROCE, debt-free small-cap with a strong recent quarter and promoter buying — but a commoditised product set, an ~11.6% five-year revenue CAGR, and a ~30x valuation near an all-time high leave no multi-bagger path.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balance-sheet quality, high returns and the rating upgrade protect the downside and clear 'Low', but the slow structural growth and full valuation cap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thread (web-only). No live-theme match (vinyl flooring / leather cloth is not in active_themes.json; not a demonstrated China-beating exporter). No red_flag_tier. No revisit flag. Re-check if two or three more quarters confirm a genuine growth step-up rather than a base effect.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2026-09-04T08:19:19.128Z</dcterms:created>
  <dcterms:modified xsi:type="dcterms:W3CDTF">2026-09-04T08:19:19.129Z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